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6B4B" w:rsidRPr="00DA66C8" w:rsidRDefault="00425094" w:rsidP="00DA66C8">
      <w:pPr>
        <w:pStyle w:val="Tytu"/>
        <w:jc w:val="center"/>
      </w:pPr>
      <w:proofErr w:type="spellStart"/>
      <w:r w:rsidRPr="00DA66C8">
        <w:t>Przystalska</w:t>
      </w:r>
      <w:proofErr w:type="spellEnd"/>
    </w:p>
    <w:p w:rsidR="0045254D" w:rsidRPr="008B0AD9" w:rsidRDefault="0045254D" w:rsidP="00F601DA">
      <w:pPr>
        <w:pStyle w:val="Akapitzlist"/>
        <w:numPr>
          <w:ilvl w:val="0"/>
          <w:numId w:val="3"/>
        </w:numPr>
        <w:rPr>
          <w:rFonts w:eastAsia="Times New Roman" w:cs="Times New Roman"/>
          <w:lang w:eastAsia="pl-PL"/>
        </w:rPr>
      </w:pPr>
      <w:r w:rsidRPr="008B0AD9">
        <w:rPr>
          <w:rStyle w:val="Nagwek1Znak"/>
        </w:rPr>
        <w:t>Dokument</w:t>
      </w:r>
      <w:r w:rsidRPr="008B0AD9">
        <w:rPr>
          <w:rStyle w:val="postbody"/>
        </w:rPr>
        <w:t xml:space="preserve"> - </w:t>
      </w:r>
      <w:r w:rsidRPr="008B0AD9">
        <w:t xml:space="preserve">rzeczowe </w:t>
      </w:r>
      <w:hyperlink r:id="rId7" w:tooltip="Świadectwo" w:history="1">
        <w:r w:rsidRPr="008B0AD9">
          <w:rPr>
            <w:rStyle w:val="Hipercze"/>
            <w:color w:val="auto"/>
            <w:u w:val="none"/>
          </w:rPr>
          <w:t>świadectwo</w:t>
        </w:r>
      </w:hyperlink>
      <w:r w:rsidRPr="008B0AD9">
        <w:t xml:space="preserve"> jakiegoś zjawiska sporządzone w formie właściwej dla danego </w:t>
      </w:r>
      <w:hyperlink r:id="rId8" w:tooltip="Czas" w:history="1">
        <w:r w:rsidRPr="008B0AD9">
          <w:rPr>
            <w:rStyle w:val="Hipercze"/>
            <w:color w:val="auto"/>
            <w:u w:val="none"/>
          </w:rPr>
          <w:t>czasu</w:t>
        </w:r>
      </w:hyperlink>
      <w:r w:rsidRPr="008B0AD9">
        <w:t xml:space="preserve"> i miejsca. </w:t>
      </w:r>
      <w:r w:rsidRPr="008B0AD9">
        <w:rPr>
          <w:rFonts w:eastAsia="Times New Roman" w:cs="Times New Roman"/>
          <w:lang w:eastAsia="pl-PL"/>
        </w:rPr>
        <w:t xml:space="preserve">dokumenty określa się jako: </w:t>
      </w:r>
    </w:p>
    <w:p w:rsidR="0045254D" w:rsidRPr="0045254D" w:rsidRDefault="0045254D" w:rsidP="0045254D">
      <w:pPr>
        <w:numPr>
          <w:ilvl w:val="0"/>
          <w:numId w:val="1"/>
        </w:numPr>
        <w:spacing w:before="100" w:beforeAutospacing="1" w:after="100" w:afterAutospacing="1" w:line="240" w:lineRule="auto"/>
        <w:rPr>
          <w:rFonts w:eastAsia="Times New Roman" w:cs="Times New Roman"/>
          <w:lang w:eastAsia="pl-PL"/>
        </w:rPr>
      </w:pPr>
      <w:r w:rsidRPr="0045254D">
        <w:rPr>
          <w:rFonts w:eastAsia="Times New Roman" w:cs="Times New Roman"/>
          <w:lang w:eastAsia="pl-PL"/>
        </w:rPr>
        <w:t>pierwotne (w formie, jaką nadał im twórca)</w:t>
      </w:r>
    </w:p>
    <w:p w:rsidR="0045254D" w:rsidRPr="0045254D" w:rsidRDefault="0045254D" w:rsidP="0045254D">
      <w:pPr>
        <w:numPr>
          <w:ilvl w:val="0"/>
          <w:numId w:val="1"/>
        </w:numPr>
        <w:spacing w:before="100" w:beforeAutospacing="1" w:after="100" w:afterAutospacing="1" w:line="240" w:lineRule="auto"/>
        <w:rPr>
          <w:rFonts w:eastAsia="Times New Roman" w:cs="Times New Roman"/>
          <w:lang w:eastAsia="pl-PL"/>
        </w:rPr>
      </w:pPr>
      <w:r w:rsidRPr="0045254D">
        <w:rPr>
          <w:rFonts w:eastAsia="Times New Roman" w:cs="Times New Roman"/>
          <w:lang w:eastAsia="pl-PL"/>
        </w:rPr>
        <w:t>wtórne, dokładnie odwzorowane (</w:t>
      </w:r>
      <w:hyperlink r:id="rId9" w:tooltip="Duplikat" w:history="1">
        <w:r w:rsidRPr="008B0AD9">
          <w:rPr>
            <w:rFonts w:eastAsia="Times New Roman" w:cs="Times New Roman"/>
            <w:lang w:eastAsia="pl-PL"/>
          </w:rPr>
          <w:t>duplikat</w:t>
        </w:r>
      </w:hyperlink>
      <w:r w:rsidRPr="0045254D">
        <w:rPr>
          <w:rFonts w:eastAsia="Times New Roman" w:cs="Times New Roman"/>
          <w:lang w:eastAsia="pl-PL"/>
        </w:rPr>
        <w:t xml:space="preserve">, </w:t>
      </w:r>
      <w:hyperlink r:id="rId10" w:tooltip="Odpis dokumentu" w:history="1">
        <w:r w:rsidRPr="008B0AD9">
          <w:rPr>
            <w:rFonts w:eastAsia="Times New Roman" w:cs="Times New Roman"/>
            <w:lang w:eastAsia="pl-PL"/>
          </w:rPr>
          <w:t>odpis</w:t>
        </w:r>
      </w:hyperlink>
      <w:r w:rsidRPr="0045254D">
        <w:rPr>
          <w:rFonts w:eastAsia="Times New Roman" w:cs="Times New Roman"/>
          <w:lang w:eastAsia="pl-PL"/>
        </w:rPr>
        <w:t xml:space="preserve">, </w:t>
      </w:r>
      <w:hyperlink r:id="rId11" w:tooltip="Kopia" w:history="1">
        <w:r w:rsidRPr="008B0AD9">
          <w:rPr>
            <w:rFonts w:eastAsia="Times New Roman" w:cs="Times New Roman"/>
            <w:lang w:eastAsia="pl-PL"/>
          </w:rPr>
          <w:t>kopia</w:t>
        </w:r>
      </w:hyperlink>
      <w:r w:rsidRPr="0045254D">
        <w:rPr>
          <w:rFonts w:eastAsia="Times New Roman" w:cs="Times New Roman"/>
          <w:lang w:eastAsia="pl-PL"/>
        </w:rPr>
        <w:t>)</w:t>
      </w:r>
    </w:p>
    <w:p w:rsidR="0045254D" w:rsidRPr="008B0AD9" w:rsidRDefault="0045254D" w:rsidP="0045254D">
      <w:pPr>
        <w:numPr>
          <w:ilvl w:val="0"/>
          <w:numId w:val="1"/>
        </w:numPr>
        <w:spacing w:before="100" w:beforeAutospacing="1" w:after="100" w:afterAutospacing="1" w:line="240" w:lineRule="auto"/>
        <w:rPr>
          <w:rFonts w:eastAsia="Times New Roman" w:cs="Times New Roman"/>
          <w:lang w:eastAsia="pl-PL"/>
        </w:rPr>
      </w:pPr>
      <w:r w:rsidRPr="0045254D">
        <w:rPr>
          <w:rFonts w:eastAsia="Times New Roman" w:cs="Times New Roman"/>
          <w:lang w:eastAsia="pl-PL"/>
        </w:rPr>
        <w:t>pochodne, zawierające informacje o dokumencie pierwotnym i jego zawartości.</w:t>
      </w:r>
    </w:p>
    <w:p w:rsidR="00F601DA" w:rsidRPr="008B0AD9" w:rsidRDefault="00F601DA" w:rsidP="008B0AD9">
      <w:pPr>
        <w:pStyle w:val="Nagwek1"/>
        <w:numPr>
          <w:ilvl w:val="0"/>
          <w:numId w:val="3"/>
        </w:numPr>
        <w:rPr>
          <w:rFonts w:eastAsia="Times New Roman"/>
          <w:lang w:eastAsia="pl-PL"/>
        </w:rPr>
      </w:pPr>
      <w:r w:rsidRPr="008B0AD9">
        <w:rPr>
          <w:rFonts w:eastAsia="Times New Roman"/>
          <w:lang w:eastAsia="pl-PL"/>
        </w:rPr>
        <w:t>Karta inwentarzowa dla dokumentacji aktowej</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8"/>
        <w:gridCol w:w="720"/>
        <w:gridCol w:w="540"/>
        <w:gridCol w:w="1620"/>
        <w:gridCol w:w="540"/>
        <w:gridCol w:w="1800"/>
      </w:tblGrid>
      <w:tr w:rsidR="00F601DA" w:rsidRPr="00DA66C8" w:rsidTr="007C0679">
        <w:tc>
          <w:tcPr>
            <w:tcW w:w="288" w:type="dxa"/>
          </w:tcPr>
          <w:p w:rsidR="00F601DA" w:rsidRPr="00DA66C8" w:rsidRDefault="00F601DA" w:rsidP="007C0679">
            <w:pPr>
              <w:rPr>
                <w:rStyle w:val="postbody"/>
                <w:sz w:val="18"/>
                <w:szCs w:val="18"/>
              </w:rPr>
            </w:pPr>
          </w:p>
        </w:tc>
        <w:tc>
          <w:tcPr>
            <w:tcW w:w="1260" w:type="dxa"/>
            <w:gridSpan w:val="2"/>
          </w:tcPr>
          <w:p w:rsidR="00F601DA" w:rsidRPr="00DA66C8" w:rsidRDefault="00F601DA" w:rsidP="007C0679">
            <w:pPr>
              <w:rPr>
                <w:rStyle w:val="postbody"/>
                <w:sz w:val="18"/>
                <w:szCs w:val="18"/>
              </w:rPr>
            </w:pPr>
            <w:r w:rsidRPr="00DA66C8">
              <w:rPr>
                <w:rStyle w:val="postbody"/>
                <w:sz w:val="18"/>
                <w:szCs w:val="18"/>
              </w:rPr>
              <w:t>nazwa archiwum  1</w:t>
            </w:r>
          </w:p>
        </w:tc>
        <w:tc>
          <w:tcPr>
            <w:tcW w:w="2160" w:type="dxa"/>
            <w:gridSpan w:val="2"/>
          </w:tcPr>
          <w:p w:rsidR="00F601DA" w:rsidRPr="00DA66C8" w:rsidRDefault="00F601DA" w:rsidP="007C0679">
            <w:pPr>
              <w:rPr>
                <w:rStyle w:val="postbody"/>
                <w:sz w:val="18"/>
                <w:szCs w:val="18"/>
              </w:rPr>
            </w:pPr>
            <w:r w:rsidRPr="00DA66C8">
              <w:rPr>
                <w:rStyle w:val="postbody"/>
                <w:sz w:val="18"/>
                <w:szCs w:val="18"/>
              </w:rPr>
              <w:t>Nazwa zespołu  2</w:t>
            </w:r>
          </w:p>
        </w:tc>
        <w:tc>
          <w:tcPr>
            <w:tcW w:w="1800" w:type="dxa"/>
          </w:tcPr>
          <w:p w:rsidR="00F601DA" w:rsidRPr="00DA66C8" w:rsidRDefault="00F601DA" w:rsidP="007C0679">
            <w:pPr>
              <w:rPr>
                <w:rStyle w:val="postbody"/>
                <w:sz w:val="18"/>
                <w:szCs w:val="18"/>
              </w:rPr>
            </w:pPr>
            <w:r w:rsidRPr="00DA66C8">
              <w:rPr>
                <w:rStyle w:val="postbody"/>
                <w:sz w:val="18"/>
                <w:szCs w:val="18"/>
              </w:rPr>
              <w:t>Sygnatura archiwalna  3</w:t>
            </w:r>
          </w:p>
        </w:tc>
      </w:tr>
      <w:tr w:rsidR="00F601DA" w:rsidRPr="00DA66C8" w:rsidTr="00F601DA">
        <w:trPr>
          <w:trHeight w:val="872"/>
        </w:trPr>
        <w:tc>
          <w:tcPr>
            <w:tcW w:w="5508" w:type="dxa"/>
            <w:gridSpan w:val="6"/>
          </w:tcPr>
          <w:p w:rsidR="00F601DA" w:rsidRPr="00DA66C8" w:rsidRDefault="00F601DA" w:rsidP="007C0679">
            <w:pPr>
              <w:rPr>
                <w:rStyle w:val="postbody"/>
                <w:sz w:val="18"/>
                <w:szCs w:val="18"/>
              </w:rPr>
            </w:pPr>
            <w:r w:rsidRPr="00DA66C8">
              <w:rPr>
                <w:rStyle w:val="postbody"/>
                <w:sz w:val="18"/>
                <w:szCs w:val="18"/>
              </w:rPr>
              <w:t>Regest dokumentu – krótka informacja o zawartości teczki   4</w:t>
            </w:r>
          </w:p>
        </w:tc>
      </w:tr>
      <w:tr w:rsidR="00F601DA" w:rsidRPr="00DA66C8" w:rsidTr="007C0679">
        <w:tc>
          <w:tcPr>
            <w:tcW w:w="1008" w:type="dxa"/>
            <w:gridSpan w:val="2"/>
          </w:tcPr>
          <w:p w:rsidR="00F601DA" w:rsidRPr="00DA66C8" w:rsidRDefault="00F601DA" w:rsidP="007C0679">
            <w:pPr>
              <w:rPr>
                <w:rStyle w:val="postbody"/>
                <w:sz w:val="18"/>
                <w:szCs w:val="18"/>
              </w:rPr>
            </w:pPr>
            <w:r w:rsidRPr="00DA66C8">
              <w:rPr>
                <w:rStyle w:val="postbody"/>
                <w:sz w:val="18"/>
                <w:szCs w:val="18"/>
              </w:rPr>
              <w:t>Daty skrajne  5</w:t>
            </w:r>
          </w:p>
        </w:tc>
        <w:tc>
          <w:tcPr>
            <w:tcW w:w="2160" w:type="dxa"/>
            <w:gridSpan w:val="2"/>
            <w:vMerge w:val="restart"/>
          </w:tcPr>
          <w:p w:rsidR="00F601DA" w:rsidRPr="00DA66C8" w:rsidRDefault="00F601DA" w:rsidP="007C0679">
            <w:pPr>
              <w:rPr>
                <w:rStyle w:val="postbody"/>
                <w:sz w:val="18"/>
                <w:szCs w:val="18"/>
              </w:rPr>
            </w:pPr>
            <w:r w:rsidRPr="00DA66C8">
              <w:rPr>
                <w:rStyle w:val="postbody"/>
                <w:sz w:val="18"/>
                <w:szCs w:val="18"/>
              </w:rPr>
              <w:t>Opis zewnętrzny   6</w:t>
            </w:r>
          </w:p>
        </w:tc>
        <w:tc>
          <w:tcPr>
            <w:tcW w:w="2340" w:type="dxa"/>
            <w:gridSpan w:val="2"/>
            <w:vMerge w:val="restart"/>
          </w:tcPr>
          <w:p w:rsidR="00F601DA" w:rsidRPr="00DA66C8" w:rsidRDefault="00F601DA" w:rsidP="007C0679">
            <w:pPr>
              <w:rPr>
                <w:rStyle w:val="postbody"/>
                <w:sz w:val="18"/>
                <w:szCs w:val="18"/>
              </w:rPr>
            </w:pPr>
            <w:r w:rsidRPr="00DA66C8">
              <w:rPr>
                <w:rStyle w:val="postbody"/>
                <w:sz w:val="18"/>
                <w:szCs w:val="18"/>
              </w:rPr>
              <w:t>Dawne sygnatury w kolejności ich występowania   7</w:t>
            </w:r>
          </w:p>
        </w:tc>
      </w:tr>
      <w:tr w:rsidR="00F601DA" w:rsidRPr="00DA66C8" w:rsidTr="00F601DA">
        <w:trPr>
          <w:trHeight w:val="509"/>
        </w:trPr>
        <w:tc>
          <w:tcPr>
            <w:tcW w:w="1008" w:type="dxa"/>
            <w:gridSpan w:val="2"/>
            <w:vMerge w:val="restart"/>
          </w:tcPr>
          <w:p w:rsidR="00F601DA" w:rsidRPr="00DA66C8" w:rsidRDefault="00F601DA" w:rsidP="007C0679">
            <w:pPr>
              <w:rPr>
                <w:rStyle w:val="postbody"/>
                <w:sz w:val="18"/>
                <w:szCs w:val="18"/>
              </w:rPr>
            </w:pPr>
            <w:r w:rsidRPr="00DA66C8">
              <w:rPr>
                <w:rStyle w:val="postbody"/>
                <w:sz w:val="18"/>
                <w:szCs w:val="18"/>
              </w:rPr>
              <w:t>Informacje o edycji źródła  8</w:t>
            </w:r>
          </w:p>
        </w:tc>
        <w:tc>
          <w:tcPr>
            <w:tcW w:w="2160" w:type="dxa"/>
            <w:gridSpan w:val="2"/>
            <w:vMerge/>
          </w:tcPr>
          <w:p w:rsidR="00F601DA" w:rsidRPr="00DA66C8" w:rsidRDefault="00F601DA" w:rsidP="007C0679">
            <w:pPr>
              <w:rPr>
                <w:rStyle w:val="postbody"/>
                <w:sz w:val="18"/>
                <w:szCs w:val="18"/>
              </w:rPr>
            </w:pPr>
          </w:p>
        </w:tc>
        <w:tc>
          <w:tcPr>
            <w:tcW w:w="2340" w:type="dxa"/>
            <w:gridSpan w:val="2"/>
            <w:vMerge/>
          </w:tcPr>
          <w:p w:rsidR="00F601DA" w:rsidRPr="00DA66C8" w:rsidRDefault="00F601DA" w:rsidP="007C0679">
            <w:pPr>
              <w:rPr>
                <w:rStyle w:val="postbody"/>
                <w:sz w:val="18"/>
                <w:szCs w:val="18"/>
              </w:rPr>
            </w:pPr>
          </w:p>
        </w:tc>
      </w:tr>
      <w:tr w:rsidR="00F601DA" w:rsidRPr="00DA66C8" w:rsidTr="007C0679">
        <w:tc>
          <w:tcPr>
            <w:tcW w:w="1008" w:type="dxa"/>
            <w:gridSpan w:val="2"/>
            <w:vMerge/>
          </w:tcPr>
          <w:p w:rsidR="00F601DA" w:rsidRPr="00DA66C8" w:rsidRDefault="00F601DA" w:rsidP="007C0679">
            <w:pPr>
              <w:rPr>
                <w:rStyle w:val="postbody"/>
                <w:sz w:val="18"/>
                <w:szCs w:val="18"/>
              </w:rPr>
            </w:pPr>
          </w:p>
        </w:tc>
        <w:tc>
          <w:tcPr>
            <w:tcW w:w="4500" w:type="dxa"/>
            <w:gridSpan w:val="4"/>
          </w:tcPr>
          <w:p w:rsidR="00F601DA" w:rsidRPr="00DA66C8" w:rsidRDefault="00F601DA" w:rsidP="007C0679">
            <w:pPr>
              <w:rPr>
                <w:rStyle w:val="postbody"/>
                <w:sz w:val="18"/>
                <w:szCs w:val="18"/>
              </w:rPr>
            </w:pPr>
            <w:r w:rsidRPr="00DA66C8">
              <w:rPr>
                <w:rStyle w:val="postbody"/>
                <w:sz w:val="18"/>
                <w:szCs w:val="18"/>
              </w:rPr>
              <w:t>Uwagi Dodatkowe   9</w:t>
            </w:r>
          </w:p>
        </w:tc>
      </w:tr>
    </w:tbl>
    <w:p w:rsidR="00F601DA" w:rsidRPr="0045254D" w:rsidRDefault="00F601DA" w:rsidP="00F601DA">
      <w:pPr>
        <w:spacing w:before="100" w:beforeAutospacing="1" w:after="100" w:afterAutospacing="1" w:line="240" w:lineRule="auto"/>
        <w:ind w:left="720"/>
        <w:rPr>
          <w:rFonts w:eastAsia="Times New Roman" w:cs="Times New Roman"/>
          <w:sz w:val="18"/>
          <w:szCs w:val="18"/>
          <w:lang w:eastAsia="pl-PL"/>
        </w:rPr>
      </w:pPr>
    </w:p>
    <w:p w:rsidR="0045254D" w:rsidRPr="008B0AD9" w:rsidRDefault="0045254D" w:rsidP="00425094">
      <w:pPr>
        <w:rPr>
          <w:rStyle w:val="postbody"/>
        </w:rPr>
      </w:pPr>
    </w:p>
    <w:p w:rsidR="00425094" w:rsidRPr="008B0AD9" w:rsidRDefault="00425094" w:rsidP="00F601DA">
      <w:pPr>
        <w:pStyle w:val="Akapitzlist"/>
        <w:numPr>
          <w:ilvl w:val="0"/>
          <w:numId w:val="3"/>
        </w:numPr>
        <w:rPr>
          <w:rStyle w:val="postbody"/>
        </w:rPr>
      </w:pPr>
      <w:r w:rsidRPr="008B0AD9">
        <w:rPr>
          <w:rStyle w:val="Nagwek1Znak"/>
        </w:rPr>
        <w:t xml:space="preserve">Porządkowanie uproszczone: </w:t>
      </w:r>
      <w:r w:rsidRPr="008B0AD9">
        <w:rPr>
          <w:rStyle w:val="Nagwek1Znak"/>
        </w:rPr>
        <w:br/>
      </w:r>
      <w:r w:rsidRPr="008B0AD9">
        <w:rPr>
          <w:rStyle w:val="postbody"/>
        </w:rPr>
        <w:t xml:space="preserve">Zasób z XIX - XX wieku dzielimy na 3 grupy: </w:t>
      </w:r>
      <w:r w:rsidRPr="008B0AD9">
        <w:br/>
      </w:r>
      <w:r w:rsidRPr="008B0AD9">
        <w:rPr>
          <w:rStyle w:val="postbody"/>
        </w:rPr>
        <w:t xml:space="preserve">A1 - dok. bardzo cenna (sprzed XIX wieku, powstała na poziomie centralnym) - porządkowanie wg starego sposobu </w:t>
      </w:r>
      <w:r w:rsidRPr="008B0AD9">
        <w:br/>
      </w:r>
      <w:r w:rsidRPr="008B0AD9">
        <w:rPr>
          <w:rStyle w:val="postbody"/>
        </w:rPr>
        <w:t xml:space="preserve">A2 - dok. szczebla regionalnego (ponad powiatowe, starostwa powiatowe, akta miast akta władz miejskich etc) - modyfikacja wstępu do inwentarza (zwięzły, skrócona charakterystyka i </w:t>
      </w:r>
      <w:proofErr w:type="spellStart"/>
      <w:r w:rsidRPr="008B0AD9">
        <w:rPr>
          <w:rStyle w:val="postbody"/>
        </w:rPr>
        <w:t>info</w:t>
      </w:r>
      <w:proofErr w:type="spellEnd"/>
      <w:r w:rsidRPr="008B0AD9">
        <w:rPr>
          <w:rStyle w:val="postbody"/>
        </w:rPr>
        <w:t xml:space="preserve"> o zasadzie porządkowania), przy porządkowaniu </w:t>
      </w:r>
      <w:proofErr w:type="spellStart"/>
      <w:r w:rsidRPr="008B0AD9">
        <w:rPr>
          <w:rStyle w:val="postbody"/>
        </w:rPr>
        <w:t>wewn</w:t>
      </w:r>
      <w:proofErr w:type="spellEnd"/>
      <w:r w:rsidRPr="008B0AD9">
        <w:rPr>
          <w:rStyle w:val="postbody"/>
        </w:rPr>
        <w:t xml:space="preserve">. dopuszczona rezygnacja z brakowania o ile nie przekracza 50% objętości teczki. Nadal tworzymy inwentarz książkowy </w:t>
      </w:r>
      <w:r w:rsidRPr="008B0AD9">
        <w:br/>
      </w:r>
      <w:r w:rsidRPr="008B0AD9">
        <w:rPr>
          <w:rStyle w:val="postbody"/>
        </w:rPr>
        <w:t xml:space="preserve">A3 - cała reszta dokumentacji - do inwentarza zamiast wstępu dodajemy notatkę informacyjną (jej funkcję może pełnić notatka z archiwum </w:t>
      </w:r>
      <w:proofErr w:type="spellStart"/>
      <w:r w:rsidRPr="008B0AD9">
        <w:rPr>
          <w:rStyle w:val="postbody"/>
        </w:rPr>
        <w:t>aktotwórcy</w:t>
      </w:r>
      <w:proofErr w:type="spellEnd"/>
      <w:r w:rsidRPr="008B0AD9">
        <w:rPr>
          <w:rStyle w:val="postbody"/>
        </w:rPr>
        <w:t xml:space="preserve">), dopuszczone odstąpienie od brakowania </w:t>
      </w:r>
      <w:proofErr w:type="spellStart"/>
      <w:r w:rsidRPr="008B0AD9">
        <w:rPr>
          <w:rStyle w:val="postbody"/>
        </w:rPr>
        <w:t>wewn</w:t>
      </w:r>
      <w:proofErr w:type="spellEnd"/>
      <w:r w:rsidRPr="008B0AD9">
        <w:rPr>
          <w:rStyle w:val="postbody"/>
        </w:rPr>
        <w:t>., dopuszczone zaniechanie porządkowania chronologicznego i paginacji/foliacji. Pomoc archiwalną stanowi spis zdawczo-odbiorczy,</w:t>
      </w:r>
    </w:p>
    <w:p w:rsidR="005A5C93" w:rsidRPr="008B0AD9" w:rsidRDefault="005A5C93" w:rsidP="00425094">
      <w:pPr>
        <w:rPr>
          <w:rStyle w:val="postbody"/>
        </w:rPr>
      </w:pPr>
    </w:p>
    <w:p w:rsidR="00F601DA" w:rsidRPr="008B0AD9" w:rsidRDefault="00F601DA" w:rsidP="00425094">
      <w:pPr>
        <w:rPr>
          <w:rStyle w:val="postbody"/>
        </w:rPr>
      </w:pPr>
    </w:p>
    <w:p w:rsidR="00F601DA" w:rsidRPr="008B0AD9" w:rsidRDefault="00F601DA" w:rsidP="00425094">
      <w:pPr>
        <w:rPr>
          <w:rStyle w:val="postbody"/>
        </w:rPr>
      </w:pPr>
    </w:p>
    <w:p w:rsidR="00F601DA" w:rsidRPr="008B0AD9" w:rsidRDefault="00F601DA" w:rsidP="00425094">
      <w:pPr>
        <w:rPr>
          <w:rStyle w:val="postbody"/>
        </w:rPr>
      </w:pPr>
    </w:p>
    <w:p w:rsidR="005A5C93" w:rsidRPr="008B0AD9" w:rsidRDefault="005A5C93" w:rsidP="008B0AD9">
      <w:pPr>
        <w:pStyle w:val="Nagwek1"/>
        <w:numPr>
          <w:ilvl w:val="0"/>
          <w:numId w:val="3"/>
        </w:numPr>
        <w:rPr>
          <w:rStyle w:val="postbody"/>
        </w:rPr>
      </w:pPr>
      <w:r w:rsidRPr="008B0AD9">
        <w:rPr>
          <w:rStyle w:val="postbody"/>
        </w:rPr>
        <w:lastRenderedPageBreak/>
        <w:t>Opracowywanie materiałów archiwalnych XIX – XX wiek.</w:t>
      </w:r>
    </w:p>
    <w:p w:rsidR="005A5C93" w:rsidRPr="008B0AD9" w:rsidRDefault="005A5C93" w:rsidP="006768DE">
      <w:pPr>
        <w:pStyle w:val="Nagwek1"/>
        <w:rPr>
          <w:rStyle w:val="postbody"/>
          <w:rFonts w:asciiTheme="minorHAnsi" w:hAnsiTheme="minorHAnsi"/>
          <w:color w:val="auto"/>
          <w:sz w:val="22"/>
          <w:szCs w:val="22"/>
        </w:rPr>
      </w:pPr>
      <w:r w:rsidRPr="008B0AD9">
        <w:rPr>
          <w:rStyle w:val="postbody"/>
          <w:rFonts w:asciiTheme="minorHAnsi" w:hAnsiTheme="minorHAnsi"/>
          <w:color w:val="auto"/>
          <w:sz w:val="22"/>
          <w:szCs w:val="22"/>
        </w:rPr>
        <w:t>Okres zaborów:</w:t>
      </w:r>
    </w:p>
    <w:p w:rsidR="005A5C93" w:rsidRPr="008B0AD9" w:rsidRDefault="005A5C93" w:rsidP="00425094">
      <w:pPr>
        <w:rPr>
          <w:rStyle w:val="postbody"/>
        </w:rPr>
      </w:pPr>
      <w:r w:rsidRPr="008B0AD9">
        <w:rPr>
          <w:rStyle w:val="postbody"/>
        </w:rPr>
        <w:t xml:space="preserve">Przy opracowaniu akt urzędów pruskiej administracji państwowej wysuwa się problem granic zespołów akt. Akta wytworzone przez urzędy administracji państwowej państw zaborczych  winny stanowić odrębne zespoły. Na terenie zaboru pruskiego należy je zamknąć na latach 1919 – 1921. Na </w:t>
      </w:r>
      <w:proofErr w:type="spellStart"/>
      <w:r w:rsidRPr="008B0AD9">
        <w:rPr>
          <w:rStyle w:val="postbody"/>
        </w:rPr>
        <w:t>tzw</w:t>
      </w:r>
      <w:proofErr w:type="spellEnd"/>
      <w:r w:rsidRPr="008B0AD9">
        <w:rPr>
          <w:rStyle w:val="postbody"/>
        </w:rPr>
        <w:t xml:space="preserve"> ziemiach odzyskanych granicą jest rok 1945. Granica jest trudna, bo po 1918 urzędy polskiej administracji państwowej, które przejęły władzę z reguły kontynuowały akta swych pruskich poprzedników. Nadal obowiązywały ustawy i zarządzenia władz pruskich. </w:t>
      </w:r>
    </w:p>
    <w:p w:rsidR="005A5C93" w:rsidRPr="008B0AD9" w:rsidRDefault="005A5C93" w:rsidP="00425094">
      <w:pPr>
        <w:rPr>
          <w:rStyle w:val="postbody"/>
        </w:rPr>
      </w:pPr>
      <w:r w:rsidRPr="008B0AD9">
        <w:rPr>
          <w:rStyle w:val="postbody"/>
        </w:rPr>
        <w:t xml:space="preserve">Cechę charakterystyczną zespołów akt pruskiej administracji stanowią akta </w:t>
      </w:r>
      <w:r w:rsidR="00826ADD" w:rsidRPr="008B0AD9">
        <w:rPr>
          <w:rStyle w:val="postbody"/>
        </w:rPr>
        <w:t>o</w:t>
      </w:r>
      <w:r w:rsidRPr="008B0AD9">
        <w:rPr>
          <w:rStyle w:val="postbody"/>
        </w:rPr>
        <w:t xml:space="preserve">dziedziczone – podlegały one różnym reorganizacjom. Związane były z likwidacją jednych urzędów i powoływaniem innych. Akta dotyczące administrowania terenem przekazywano zazwyczaj z terytorium z jednego urzędu (sukcesodawcy) do drugiego (sukcesobiorcy) niezależnie od tego czy te akta były już zamknięte czy będące w trakcie załatwiania. </w:t>
      </w:r>
    </w:p>
    <w:p w:rsidR="005A5C93" w:rsidRPr="008B0AD9" w:rsidRDefault="005A5C93" w:rsidP="0012657F">
      <w:pPr>
        <w:spacing w:after="0"/>
        <w:rPr>
          <w:rStyle w:val="postbody"/>
        </w:rPr>
      </w:pPr>
      <w:r w:rsidRPr="008B0AD9">
        <w:rPr>
          <w:rStyle w:val="postbody"/>
        </w:rPr>
        <w:t xml:space="preserve">W trakcie porządkowania akt pruskich występują trudności przy odtwarzaniu układów kancelaryjnych, dlatego ze najczęściej nie zachowały się plany registratur (podziały rzeczowe akt). Dlatego też układy registraturalne odtwarza się głównie na podstawie znaków registraturalnych znajdujących się na poszytach przynależnych do danego zespołu. </w:t>
      </w:r>
      <w:r w:rsidR="00826ADD" w:rsidRPr="008B0AD9">
        <w:rPr>
          <w:rStyle w:val="postbody"/>
        </w:rPr>
        <w:t>Trudności przy porządkowaniu występują zwłaszcza wtedy gdy na poszytach nie ma żadnych symboli przynależności do grupy rzeczowej zgodnie z planem registratury, a tylko symbole miejsca ich ułożenia na półkach w registraturze. Były to numery fachów – półek na regale, na których przechowywano akta. Numer fachu oznaczał przynależność poszytu do określonej rzeczowej grupy spraw.</w:t>
      </w:r>
    </w:p>
    <w:p w:rsidR="00826ADD" w:rsidRPr="008B0AD9" w:rsidRDefault="0012657F" w:rsidP="0012657F">
      <w:pPr>
        <w:spacing w:after="0"/>
        <w:rPr>
          <w:rStyle w:val="postbody"/>
        </w:rPr>
      </w:pPr>
      <w:r w:rsidRPr="008B0AD9">
        <w:rPr>
          <w:rStyle w:val="postbody"/>
        </w:rPr>
        <w:t>Najważniejszą</w:t>
      </w:r>
      <w:r w:rsidR="00826ADD" w:rsidRPr="008B0AD9">
        <w:rPr>
          <w:rStyle w:val="postbody"/>
        </w:rPr>
        <w:t xml:space="preserve"> sprawa przy porządkowaniu akt pruskich </w:t>
      </w:r>
      <w:r w:rsidRPr="008B0AD9">
        <w:rPr>
          <w:rStyle w:val="postbody"/>
        </w:rPr>
        <w:t>urzędów</w:t>
      </w:r>
      <w:r w:rsidR="00826ADD" w:rsidRPr="008B0AD9">
        <w:rPr>
          <w:rStyle w:val="postbody"/>
        </w:rPr>
        <w:t xml:space="preserve"> jest ustalenie treści znaków registraturalnych, znajdujących się na aktach. Gdy przy porządkowaniu akt okaże się, że akta tej samej lub pokrewnej treści </w:t>
      </w:r>
      <w:r w:rsidRPr="008B0AD9">
        <w:rPr>
          <w:rStyle w:val="postbody"/>
        </w:rPr>
        <w:t>noszą</w:t>
      </w:r>
      <w:r w:rsidR="00826ADD" w:rsidRPr="008B0AD9">
        <w:rPr>
          <w:rStyle w:val="postbody"/>
        </w:rPr>
        <w:t xml:space="preserve"> numery różnych i nie kolejnych fachów, nie należy </w:t>
      </w:r>
      <w:r w:rsidRPr="008B0AD9">
        <w:rPr>
          <w:rStyle w:val="postbody"/>
        </w:rPr>
        <w:t xml:space="preserve">odtwarzać układu registraturalnego, lecz podzielić je na grupy rzeczowe wg pokrewieństwa ich treści. Następnie w ramach wydzielonych grup należy łączyć poszyty tej samej treści i układać je w kolejności chronologicznej. </w:t>
      </w:r>
    </w:p>
    <w:p w:rsidR="0012657F" w:rsidRPr="008B0AD9" w:rsidRDefault="0012657F" w:rsidP="00425094">
      <w:pPr>
        <w:rPr>
          <w:rStyle w:val="postbody"/>
        </w:rPr>
      </w:pPr>
      <w:r w:rsidRPr="008B0AD9">
        <w:rPr>
          <w:rStyle w:val="postbody"/>
        </w:rPr>
        <w:t xml:space="preserve">Cechą pruskich układów registraturalnych są także układy alfabetyczne. Układano tak akta dotyczące poszczególnych osób i miejscowości. Podział ten może sprawić porządkującemu sporo kłopotów w przypadku zmian nazw miejscowości. Archiwista powinien w czasie prac porządkowych sprawdzać, czy nazwa występująca na okładce poszytu znajduje się także na pismach w końcowej jego części. </w:t>
      </w:r>
    </w:p>
    <w:p w:rsidR="0012657F" w:rsidRPr="008B0AD9" w:rsidRDefault="0012657F" w:rsidP="006768DE">
      <w:pPr>
        <w:pStyle w:val="Nagwek1"/>
        <w:rPr>
          <w:rStyle w:val="postbody"/>
          <w:rFonts w:asciiTheme="minorHAnsi" w:hAnsiTheme="minorHAnsi"/>
          <w:color w:val="auto"/>
          <w:sz w:val="22"/>
          <w:szCs w:val="22"/>
        </w:rPr>
      </w:pPr>
      <w:r w:rsidRPr="008B0AD9">
        <w:rPr>
          <w:rStyle w:val="postbody"/>
          <w:rFonts w:asciiTheme="minorHAnsi" w:hAnsiTheme="minorHAnsi"/>
          <w:color w:val="auto"/>
          <w:sz w:val="22"/>
          <w:szCs w:val="22"/>
        </w:rPr>
        <w:t>Okres międzywojenny</w:t>
      </w:r>
    </w:p>
    <w:p w:rsidR="0012657F" w:rsidRPr="008B0AD9" w:rsidRDefault="0012657F" w:rsidP="00425094">
      <w:pPr>
        <w:rPr>
          <w:rStyle w:val="postbody"/>
        </w:rPr>
      </w:pPr>
      <w:r w:rsidRPr="008B0AD9">
        <w:rPr>
          <w:rStyle w:val="postbody"/>
        </w:rPr>
        <w:t xml:space="preserve">Problem: uwidaczniają się wpływy 2 różnych systemów kancelaryjnych. </w:t>
      </w:r>
      <w:r w:rsidR="00E43851" w:rsidRPr="008B0AD9">
        <w:rPr>
          <w:rStyle w:val="postbody"/>
        </w:rPr>
        <w:t xml:space="preserve"> 1919 – 1931 – system kancelaryjny dziennikowy. Dokumentacja aktowa powstała od 1932 zgodnie z systemem kancelaryjnym bezdziennikowym stanowi w dużym procencie akta luźne. Porządkowanie akt luźnych na ogół nie sprawia trudności. Na pismach znajduje się znak sprawy – symbol rozpoznawczy w kancelarii, który sygnalizował grupę akt, właściwą teczkę, a także numer sprawy. Znak pisma znajdował się w lewym górnym rogu po nazwą wystawcy pisma. </w:t>
      </w:r>
      <w:r w:rsidR="006768DE" w:rsidRPr="008B0AD9">
        <w:rPr>
          <w:rStyle w:val="postbody"/>
        </w:rPr>
        <w:t xml:space="preserve">Akta w stanie luźnym wymagają uporządkowania wewnętrznego. Polega ono na nadaniu aktom chronologicznego porządku </w:t>
      </w:r>
      <w:proofErr w:type="spellStart"/>
      <w:r w:rsidR="006768DE" w:rsidRPr="008B0AD9">
        <w:rPr>
          <w:rStyle w:val="postbody"/>
        </w:rPr>
        <w:t>tzn</w:t>
      </w:r>
      <w:proofErr w:type="spellEnd"/>
      <w:r w:rsidR="006768DE" w:rsidRPr="008B0AD9">
        <w:rPr>
          <w:rStyle w:val="postbody"/>
        </w:rPr>
        <w:t xml:space="preserve">, akta sprawy zarejestrowanej pod numerem pierwszym powinny znajdować się pod jej wierzchnią okładką, </w:t>
      </w:r>
      <w:r w:rsidR="006768DE" w:rsidRPr="008B0AD9">
        <w:rPr>
          <w:rStyle w:val="postbody"/>
        </w:rPr>
        <w:lastRenderedPageBreak/>
        <w:t xml:space="preserve">a ostatniej sprawy na spodzie. Pismo wszczynające </w:t>
      </w:r>
      <w:r w:rsidR="0045254D" w:rsidRPr="008B0AD9">
        <w:rPr>
          <w:rStyle w:val="postbody"/>
        </w:rPr>
        <w:t>sprawę</w:t>
      </w:r>
      <w:r w:rsidR="006768DE" w:rsidRPr="008B0AD9">
        <w:rPr>
          <w:rStyle w:val="postbody"/>
        </w:rPr>
        <w:t xml:space="preserve"> należy ułożyć na wierzchu, kończące na spodzie. </w:t>
      </w:r>
    </w:p>
    <w:p w:rsidR="006768DE" w:rsidRPr="008B0AD9" w:rsidRDefault="006768DE" w:rsidP="006768DE">
      <w:pPr>
        <w:pStyle w:val="Nagwek1"/>
        <w:rPr>
          <w:rStyle w:val="postbody"/>
          <w:rFonts w:asciiTheme="minorHAnsi" w:hAnsiTheme="minorHAnsi"/>
          <w:color w:val="auto"/>
          <w:sz w:val="22"/>
          <w:szCs w:val="22"/>
        </w:rPr>
      </w:pPr>
      <w:r w:rsidRPr="008B0AD9">
        <w:rPr>
          <w:rStyle w:val="postbody"/>
          <w:rFonts w:asciiTheme="minorHAnsi" w:hAnsiTheme="minorHAnsi"/>
          <w:color w:val="auto"/>
          <w:sz w:val="22"/>
          <w:szCs w:val="22"/>
        </w:rPr>
        <w:t xml:space="preserve">PRL </w:t>
      </w:r>
    </w:p>
    <w:p w:rsidR="006768DE" w:rsidRPr="008B0AD9" w:rsidRDefault="005424A8" w:rsidP="006768DE">
      <w:r w:rsidRPr="008B0AD9">
        <w:t>Ważne jest określenie granic ich zespołów. To skutek ciągłych reorganizacji tych urzędów, zmian w zakresie ich działania, zmian w podziale administracyjnym</w:t>
      </w:r>
    </w:p>
    <w:p w:rsidR="005424A8" w:rsidRPr="008B0AD9" w:rsidRDefault="005424A8" w:rsidP="006768DE">
      <w:r w:rsidRPr="008B0AD9">
        <w:t xml:space="preserve">Wojewódzkie i powiatowe rady narodowe zostały zlikwidowane na mocy ustawy z 1950 o jednolitych organach administracji państwowej. Nowe zespoły akt tworzą prezydia WRN, PRN i MRN – wojewódzkich, powiatowych i miejskich rad narodowych. 1973 </w:t>
      </w:r>
      <w:r w:rsidR="0045254D" w:rsidRPr="008B0AD9">
        <w:t>mocą</w:t>
      </w:r>
      <w:r w:rsidRPr="008B0AD9">
        <w:t xml:space="preserve"> nowej ustawy przywrócono urzędy wojewódzkie, powiatowe, miast i gmin. Akta prezydiów przejęto jako zespoły zamknięte do archiwów. 1975 – w związku z likwidacją powiatów, urzędy powiatowe i rady narodowe przestały istnieć.  Te daty to daty wyznaczające granice zespołów.  1975 stanowi granicę działalności tylko urzędów powiatowych i działających powiatowych rad narodowych. 1950 to granica końcowa zespołów akt izb skarbowych, inspektoratów skarbowych, kuratoriów, inspektoratów szkolnych i innych</w:t>
      </w:r>
      <w:r w:rsidR="0045254D" w:rsidRPr="008B0AD9">
        <w:t>.</w:t>
      </w:r>
    </w:p>
    <w:p w:rsidR="0045254D" w:rsidRPr="008B0AD9" w:rsidRDefault="0045254D" w:rsidP="006768DE">
      <w:r w:rsidRPr="008B0AD9">
        <w:t xml:space="preserve">Utrudnienia występujące w archiwach przy porządkowaniu akt z okresu PRL wynikają głównie z tego, że rzadko przekazuje się do archiwów wszystkie akta należące do zespołów zamkniętych. Brakuje zwłaszcza treści politycznej, akta te zazwyczaj są traktowane jako tajne. </w:t>
      </w:r>
    </w:p>
    <w:p w:rsidR="00F601DA" w:rsidRPr="008B0AD9" w:rsidRDefault="00F601DA" w:rsidP="008B0AD9">
      <w:pPr>
        <w:pStyle w:val="Nagwek1"/>
        <w:numPr>
          <w:ilvl w:val="0"/>
          <w:numId w:val="3"/>
        </w:numPr>
        <w:rPr>
          <w:rStyle w:val="postbody"/>
        </w:rPr>
      </w:pPr>
      <w:r w:rsidRPr="008B0AD9">
        <w:rPr>
          <w:rStyle w:val="postbody"/>
        </w:rPr>
        <w:t>Sieć archiwalna:</w:t>
      </w:r>
    </w:p>
    <w:p w:rsidR="00F601DA" w:rsidRPr="008B0AD9" w:rsidRDefault="00F601DA" w:rsidP="00F601DA">
      <w:pPr>
        <w:numPr>
          <w:ilvl w:val="1"/>
          <w:numId w:val="3"/>
        </w:numPr>
        <w:spacing w:after="0" w:line="240" w:lineRule="auto"/>
        <w:rPr>
          <w:rStyle w:val="postbody"/>
        </w:rPr>
      </w:pPr>
      <w:r w:rsidRPr="008B0AD9">
        <w:rPr>
          <w:rStyle w:val="postbody"/>
        </w:rPr>
        <w:t>3 archiwa centralne:</w:t>
      </w:r>
    </w:p>
    <w:p w:rsidR="00F601DA" w:rsidRPr="008B0AD9" w:rsidRDefault="00F601DA" w:rsidP="00F601DA">
      <w:pPr>
        <w:numPr>
          <w:ilvl w:val="2"/>
          <w:numId w:val="3"/>
        </w:numPr>
        <w:spacing w:after="0" w:line="240" w:lineRule="auto"/>
        <w:rPr>
          <w:rStyle w:val="Pogrubienie"/>
          <w:b w:val="0"/>
          <w:bCs w:val="0"/>
        </w:rPr>
      </w:pPr>
      <w:r w:rsidRPr="008B0AD9">
        <w:rPr>
          <w:rStyle w:val="postbody"/>
        </w:rPr>
        <w:t xml:space="preserve">Archiwum Główne Akt Dawnych - </w:t>
      </w:r>
      <w:r w:rsidRPr="008B0AD9">
        <w:t xml:space="preserve">przechowujące wytworzone </w:t>
      </w:r>
      <w:r w:rsidRPr="008B0AD9">
        <w:rPr>
          <w:rStyle w:val="Pogrubienie"/>
        </w:rPr>
        <w:t>do 1918 r.</w:t>
      </w:r>
      <w:r w:rsidRPr="008B0AD9">
        <w:t xml:space="preserve"> akta władz centralnych i częściowo prowincjonalnych oraz archiwa rodzin o znaczeniu ogólnopolskim,</w:t>
      </w:r>
      <w:r w:rsidRPr="008B0AD9">
        <w:rPr>
          <w:rStyle w:val="Pogrubienie"/>
        </w:rPr>
        <w:t xml:space="preserve"> </w:t>
      </w:r>
    </w:p>
    <w:p w:rsidR="00F601DA" w:rsidRPr="008B0AD9" w:rsidRDefault="00F601DA" w:rsidP="00F601DA">
      <w:pPr>
        <w:numPr>
          <w:ilvl w:val="2"/>
          <w:numId w:val="3"/>
        </w:numPr>
        <w:spacing w:after="0" w:line="240" w:lineRule="auto"/>
        <w:rPr>
          <w:rStyle w:val="Pogrubienie"/>
          <w:b w:val="0"/>
          <w:bCs w:val="0"/>
        </w:rPr>
      </w:pPr>
      <w:r w:rsidRPr="008B0AD9">
        <w:rPr>
          <w:rStyle w:val="postbody"/>
        </w:rPr>
        <w:t>Archiwum Akt Nowych - p</w:t>
      </w:r>
      <w:r w:rsidRPr="008B0AD9">
        <w:t xml:space="preserve">rzechowujące wytworzone </w:t>
      </w:r>
      <w:r w:rsidRPr="008B0AD9">
        <w:rPr>
          <w:rStyle w:val="Pogrubienie"/>
        </w:rPr>
        <w:t>po 1918 r</w:t>
      </w:r>
      <w:r w:rsidRPr="008B0AD9">
        <w:t>. akta władz centralnych, instytucji i stowarzyszeń o charakterze ogólnopolskim, spuścizny po wybitnych działaczach,</w:t>
      </w:r>
      <w:r w:rsidRPr="008B0AD9">
        <w:rPr>
          <w:rStyle w:val="Pogrubienie"/>
        </w:rPr>
        <w:t xml:space="preserve"> </w:t>
      </w:r>
    </w:p>
    <w:p w:rsidR="00F601DA" w:rsidRPr="008B0AD9" w:rsidRDefault="00F601DA" w:rsidP="00F601DA">
      <w:pPr>
        <w:numPr>
          <w:ilvl w:val="2"/>
          <w:numId w:val="3"/>
        </w:numPr>
        <w:spacing w:after="0" w:line="240" w:lineRule="auto"/>
        <w:rPr>
          <w:rStyle w:val="postbody"/>
        </w:rPr>
      </w:pPr>
      <w:r w:rsidRPr="008B0AD9">
        <w:rPr>
          <w:rStyle w:val="postbody"/>
        </w:rPr>
        <w:t xml:space="preserve">Narodowe Archiwum Cyfrowe (daw. Archiwum Dokumentacji Mechanicznej) - </w:t>
      </w:r>
      <w:r w:rsidRPr="008B0AD9">
        <w:t>przechowujące dokumentacje fotograficzną, fonograficzną i filmową powstałą od początków XX w.</w:t>
      </w:r>
    </w:p>
    <w:p w:rsidR="00F601DA" w:rsidRPr="008B0AD9" w:rsidRDefault="00F601DA" w:rsidP="00F601DA">
      <w:pPr>
        <w:numPr>
          <w:ilvl w:val="1"/>
          <w:numId w:val="3"/>
        </w:numPr>
        <w:spacing w:after="0" w:line="240" w:lineRule="auto"/>
        <w:ind w:left="714" w:hanging="357"/>
        <w:rPr>
          <w:rStyle w:val="postbody"/>
        </w:rPr>
      </w:pPr>
      <w:r w:rsidRPr="008B0AD9">
        <w:rPr>
          <w:rStyle w:val="postbody"/>
        </w:rPr>
        <w:t>30 archiwów państwowych z siedzibami w miastach wojewódzkich lub powiatowych (Poznań, Kalisz, Leszno; Konin, Piła, Gniezno)</w:t>
      </w:r>
    </w:p>
    <w:p w:rsidR="00F601DA" w:rsidRPr="008B0AD9" w:rsidRDefault="00581610" w:rsidP="00F601DA">
      <w:pPr>
        <w:numPr>
          <w:ilvl w:val="1"/>
          <w:numId w:val="3"/>
        </w:numPr>
        <w:spacing w:after="0" w:line="240" w:lineRule="auto"/>
        <w:ind w:left="714" w:hanging="357"/>
        <w:rPr>
          <w:rStyle w:val="postbody"/>
        </w:rPr>
      </w:pPr>
      <w:r>
        <w:rPr>
          <w:noProof/>
        </w:rPr>
        <w:pict>
          <v:shapetype id="_x0000_t202" coordsize="21600,21600" o:spt="202" path="m,l,21600r21600,l21600,xe">
            <v:stroke joinstyle="miter"/>
            <v:path gradientshapeok="t" o:connecttype="rect"/>
          </v:shapetype>
          <v:shape id="_x0000_s1027" type="#_x0000_t202" style="position:absolute;left:0;text-align:left;margin-left:197.7pt;margin-top:7.15pt;width:243.3pt;height:21.6pt;z-index:251661312">
            <v:textbox>
              <w:txbxContent>
                <w:p w:rsidR="00F601DA" w:rsidRDefault="00F601DA" w:rsidP="00F601DA">
                  <w:r>
                    <w:t>Podlegają określonym archiwum państwowym</w:t>
                  </w:r>
                </w:p>
              </w:txbxContent>
            </v:textbox>
          </v:shape>
        </w:pict>
      </w:r>
      <w:r>
        <w:rPr>
          <w:noProof/>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26" type="#_x0000_t88" style="position:absolute;left:0;text-align:left;margin-left:180pt;margin-top:1.75pt;width:9pt;height:27pt;z-index:251660288"/>
        </w:pict>
      </w:r>
      <w:r w:rsidR="00F601DA" w:rsidRPr="008B0AD9">
        <w:rPr>
          <w:noProof/>
        </w:rPr>
        <w:t>48</w:t>
      </w:r>
      <w:r w:rsidR="00F601DA" w:rsidRPr="008B0AD9">
        <w:rPr>
          <w:rStyle w:val="postbody"/>
        </w:rPr>
        <w:t xml:space="preserve"> oddziałów zamiejscowych</w:t>
      </w:r>
    </w:p>
    <w:p w:rsidR="00F601DA" w:rsidRPr="008B0AD9" w:rsidRDefault="00F601DA" w:rsidP="00F601DA">
      <w:pPr>
        <w:numPr>
          <w:ilvl w:val="1"/>
          <w:numId w:val="3"/>
        </w:numPr>
        <w:spacing w:after="0" w:line="240" w:lineRule="auto"/>
        <w:ind w:left="714" w:hanging="357"/>
      </w:pPr>
      <w:r w:rsidRPr="008B0AD9">
        <w:t>4 ekspozytur</w:t>
      </w:r>
    </w:p>
    <w:p w:rsidR="00F601DA" w:rsidRPr="008B0AD9" w:rsidRDefault="00F601DA" w:rsidP="00F601DA">
      <w:pPr>
        <w:numPr>
          <w:ilvl w:val="0"/>
          <w:numId w:val="3"/>
        </w:numPr>
        <w:spacing w:after="0" w:line="240" w:lineRule="auto"/>
      </w:pPr>
      <w:r w:rsidRPr="008B0AD9">
        <w:rPr>
          <w:b/>
        </w:rPr>
        <w:t>Archiwa wyodrębnione</w:t>
      </w:r>
      <w:r w:rsidRPr="008B0AD9">
        <w:t xml:space="preserve">: nie wchodzą w skład państwowej sieci archiwalnej, nie podlegają NDAP; uprawnione do trwałego lub określonego czasowo przechowywania mat. archiwalnych np. MSZ, MON, </w:t>
      </w:r>
      <w:proofErr w:type="spellStart"/>
      <w:r w:rsidRPr="008B0AD9">
        <w:t>MSWiA</w:t>
      </w:r>
      <w:proofErr w:type="spellEnd"/>
      <w:r w:rsidRPr="008B0AD9">
        <w:t>, CAW, Archiwum Prezydenta RP. Zazwyczaj mają charakter tajny, a dostęp do nich jest utrudniony.</w:t>
      </w:r>
    </w:p>
    <w:p w:rsidR="00F601DA" w:rsidRPr="008B0AD9" w:rsidRDefault="00F601DA" w:rsidP="00F601DA">
      <w:pPr>
        <w:numPr>
          <w:ilvl w:val="0"/>
          <w:numId w:val="3"/>
        </w:numPr>
        <w:spacing w:after="0" w:line="240" w:lineRule="auto"/>
      </w:pPr>
      <w:r w:rsidRPr="008B0AD9">
        <w:rPr>
          <w:b/>
        </w:rPr>
        <w:t>Archiwa z powierzonym zasobem</w:t>
      </w:r>
      <w:r w:rsidRPr="008B0AD9">
        <w:t>: uprawnione do przechowywania materiałów archiwalnych na okres dłuższy niż przewidują przepisy, za zgodą właściwych władz. Dotyczy to placówek naukowych lub kulturalnych np.: biblioteki, szkoły wyższe, GUS, PAN, itp.</w:t>
      </w:r>
    </w:p>
    <w:p w:rsidR="00F601DA" w:rsidRPr="008B0AD9" w:rsidRDefault="00F601DA" w:rsidP="00F601DA">
      <w:pPr>
        <w:numPr>
          <w:ilvl w:val="0"/>
          <w:numId w:val="3"/>
        </w:numPr>
        <w:spacing w:after="0" w:line="240" w:lineRule="auto"/>
      </w:pPr>
      <w:r w:rsidRPr="008B0AD9">
        <w:rPr>
          <w:b/>
        </w:rPr>
        <w:t xml:space="preserve">Archiwa zakładowe </w:t>
      </w:r>
      <w:r w:rsidRPr="008B0AD9">
        <w:t xml:space="preserve">(dawniej: składnica akt) - komórka organizacyjna w urzędzie, instytucji, przedsiębiorstwie lub organizacji społecznej zajmująca się przejmowaniem materiałów archiwalnych niepotrzebnych do bieżącego urzędowania (działalności) i czasowym ich przechowywaniem, ewidencjonowaniem, udostępnianiem, brakowaniem oraz przekazywaniem materiałów zasługujących na trwałe przechowywanie do właściwego </w:t>
      </w:r>
      <w:r w:rsidRPr="008B0AD9">
        <w:lastRenderedPageBreak/>
        <w:t>archiwum państwowych jednostek organizacyjnych (urzędów, instytucji, zakładów przemysłowych itp.), w których powstają materiały archiwalne (tzn. taka dokumentacja, która podlega wieczystemu przechowywaniu – kat. A) Obowiązane są one do przekazywania tych materiałów po 25 latach od chwili ich wytworzenia do archiwów państwowych, które sprawują nad nimi nadzór. W praktyce, na skutek braku miejsca w magazynach, okres ten w niektórych przypadkach bywa przedłużany. Sądy przekazują materiały po 50 latach, a urzędy stanu cywilnego i parafie przekazują akta metrykalne (w formie ksiąg) po upływie 100 lat, chyba, że są likwidowane wcześniej.</w:t>
      </w:r>
    </w:p>
    <w:p w:rsidR="00F601DA" w:rsidRPr="008B0AD9" w:rsidRDefault="00F601DA" w:rsidP="00F601DA">
      <w:pPr>
        <w:numPr>
          <w:ilvl w:val="0"/>
          <w:numId w:val="3"/>
        </w:numPr>
        <w:spacing w:after="0" w:line="240" w:lineRule="auto"/>
      </w:pPr>
      <w:r w:rsidRPr="008B0AD9">
        <w:rPr>
          <w:b/>
        </w:rPr>
        <w:t>Archiwa</w:t>
      </w:r>
      <w:r w:rsidRPr="008B0AD9">
        <w:t xml:space="preserve"> </w:t>
      </w:r>
      <w:r w:rsidRPr="008B0AD9">
        <w:rPr>
          <w:rStyle w:val="Pogrubienie"/>
        </w:rPr>
        <w:t xml:space="preserve">partii politycznych, związków zawodowych, stowarzyszeń i organizacji społecznych, kościołów i związków wyznaniowych </w:t>
      </w:r>
      <w:r w:rsidRPr="008B0AD9">
        <w:t>(szczególnie zasobne w dawne akta są katolickie archiwa diecezjalne i klasztorne). Archiwa Polskiej Zjednoczonej Partii Robotniczej zostały w 1990 r., zgodnie z ustawą, włączone do zasobu archiwów państwowych. Archiwalia znajdują się również w zbiorach wielu bibliotek (głównie naukowych) oraz muzeów państwowych i samorządowych.</w:t>
      </w:r>
    </w:p>
    <w:p w:rsidR="00F601DA" w:rsidRPr="008B0AD9" w:rsidRDefault="00F601DA" w:rsidP="00F601DA">
      <w:pPr>
        <w:numPr>
          <w:ilvl w:val="0"/>
          <w:numId w:val="3"/>
        </w:numPr>
        <w:spacing w:after="0" w:line="240" w:lineRule="auto"/>
      </w:pPr>
      <w:r w:rsidRPr="008B0AD9">
        <w:rPr>
          <w:b/>
        </w:rPr>
        <w:t xml:space="preserve">Archiwalia dotyczące </w:t>
      </w:r>
      <w:r w:rsidRPr="008B0AD9">
        <w:rPr>
          <w:rStyle w:val="Pogrubienie"/>
        </w:rPr>
        <w:t>Polski i Polonii</w:t>
      </w:r>
      <w:r w:rsidRPr="008B0AD9">
        <w:t xml:space="preserve"> gromadzone są także przez </w:t>
      </w:r>
      <w:hyperlink r:id="rId12" w:history="1">
        <w:r w:rsidRPr="008B0AD9">
          <w:rPr>
            <w:rStyle w:val="Hipercze"/>
            <w:color w:val="auto"/>
            <w:u w:val="none"/>
          </w:rPr>
          <w:t>archiwa, biblioteki, instytuty i muzea polonijne</w:t>
        </w:r>
      </w:hyperlink>
      <w:r w:rsidRPr="008B0AD9">
        <w:t xml:space="preserve"> działające poza granicami kraju (m. in. we Francji, Stanach Zjednoczonych czy Wielkiej Brytanii).</w:t>
      </w:r>
    </w:p>
    <w:p w:rsidR="00F601DA" w:rsidRPr="008B0AD9" w:rsidRDefault="00F601DA" w:rsidP="00F601DA"/>
    <w:p w:rsidR="00F601DA" w:rsidRPr="008B0AD9" w:rsidRDefault="00F601DA" w:rsidP="00F601DA">
      <w:r w:rsidRPr="008B0AD9">
        <w:rPr>
          <w:b/>
        </w:rPr>
        <w:t>Podziały archiwów</w:t>
      </w:r>
      <w:r w:rsidRPr="008B0AD9">
        <w:t xml:space="preserve">: </w:t>
      </w:r>
    </w:p>
    <w:p w:rsidR="00F601DA" w:rsidRPr="008B0AD9" w:rsidRDefault="00F601DA" w:rsidP="00F601DA">
      <w:pPr>
        <w:numPr>
          <w:ilvl w:val="0"/>
          <w:numId w:val="4"/>
        </w:numPr>
        <w:spacing w:after="0" w:line="240" w:lineRule="auto"/>
      </w:pPr>
      <w:r w:rsidRPr="008B0AD9">
        <w:rPr>
          <w:i/>
        </w:rPr>
        <w:t xml:space="preserve">Zamknięte </w:t>
      </w:r>
      <w:r w:rsidRPr="008B0AD9">
        <w:t>– nie przyjmują już akt narastających np.: AGAD.</w:t>
      </w:r>
    </w:p>
    <w:p w:rsidR="00F601DA" w:rsidRPr="008B0AD9" w:rsidRDefault="00F601DA" w:rsidP="00F601DA">
      <w:pPr>
        <w:numPr>
          <w:ilvl w:val="0"/>
          <w:numId w:val="4"/>
        </w:numPr>
        <w:spacing w:after="0" w:line="240" w:lineRule="auto"/>
      </w:pPr>
      <w:r w:rsidRPr="008B0AD9">
        <w:rPr>
          <w:i/>
        </w:rPr>
        <w:t>Otwarte</w:t>
      </w:r>
      <w:r w:rsidRPr="008B0AD9">
        <w:t xml:space="preserve"> – przyjmują na bieżąco kolejne materiały.</w:t>
      </w:r>
    </w:p>
    <w:p w:rsidR="00F601DA" w:rsidRPr="008B0AD9" w:rsidRDefault="00F601DA" w:rsidP="00F601DA"/>
    <w:p w:rsidR="00F601DA" w:rsidRPr="008B0AD9" w:rsidRDefault="00F601DA" w:rsidP="00F601DA">
      <w:pPr>
        <w:numPr>
          <w:ilvl w:val="0"/>
          <w:numId w:val="5"/>
        </w:numPr>
        <w:spacing w:after="0" w:line="240" w:lineRule="auto"/>
      </w:pPr>
      <w:r w:rsidRPr="008B0AD9">
        <w:rPr>
          <w:i/>
        </w:rPr>
        <w:t>Centralne</w:t>
      </w:r>
      <w:r w:rsidRPr="008B0AD9">
        <w:t xml:space="preserve"> np. AGAD, AAN, NAC.</w:t>
      </w:r>
    </w:p>
    <w:p w:rsidR="00F601DA" w:rsidRPr="008B0AD9" w:rsidRDefault="00F601DA" w:rsidP="00F601DA">
      <w:pPr>
        <w:numPr>
          <w:ilvl w:val="0"/>
          <w:numId w:val="5"/>
        </w:numPr>
        <w:spacing w:after="0" w:line="240" w:lineRule="auto"/>
      </w:pPr>
      <w:r w:rsidRPr="008B0AD9">
        <w:rPr>
          <w:i/>
        </w:rPr>
        <w:t>Prowincjonalne</w:t>
      </w:r>
    </w:p>
    <w:p w:rsidR="00F601DA" w:rsidRPr="008B0AD9" w:rsidRDefault="00F601DA" w:rsidP="00F601DA"/>
    <w:p w:rsidR="00F601DA" w:rsidRPr="008B0AD9" w:rsidRDefault="00F601DA" w:rsidP="00F601DA">
      <w:pPr>
        <w:numPr>
          <w:ilvl w:val="0"/>
          <w:numId w:val="6"/>
        </w:numPr>
        <w:spacing w:after="0" w:line="240" w:lineRule="auto"/>
      </w:pPr>
      <w:r w:rsidRPr="008B0AD9">
        <w:rPr>
          <w:i/>
        </w:rPr>
        <w:t>Ogólnodostępne</w:t>
      </w:r>
      <w:r w:rsidRPr="008B0AD9">
        <w:t xml:space="preserve"> – w sieci NDAP, które udostępniają materiały wedle ustawy w Polsce</w:t>
      </w:r>
    </w:p>
    <w:p w:rsidR="00F601DA" w:rsidRPr="008B0AD9" w:rsidRDefault="00F601DA" w:rsidP="00F601DA">
      <w:pPr>
        <w:numPr>
          <w:ilvl w:val="0"/>
          <w:numId w:val="6"/>
        </w:numPr>
        <w:spacing w:after="0" w:line="240" w:lineRule="auto"/>
      </w:pPr>
      <w:r w:rsidRPr="008B0AD9">
        <w:rPr>
          <w:i/>
        </w:rPr>
        <w:t>O ograniczonym dostępie</w:t>
      </w:r>
      <w:r w:rsidRPr="008B0AD9">
        <w:t xml:space="preserve"> – archiwa wyodrębnione ze względu na poufność, np.: MSZ</w:t>
      </w:r>
    </w:p>
    <w:p w:rsidR="00F601DA" w:rsidRPr="008B0AD9" w:rsidRDefault="00F601DA" w:rsidP="00F601DA">
      <w:pPr>
        <w:ind w:left="360"/>
      </w:pPr>
    </w:p>
    <w:p w:rsidR="00F601DA" w:rsidRPr="008B0AD9" w:rsidRDefault="00F601DA" w:rsidP="00F601DA">
      <w:pPr>
        <w:numPr>
          <w:ilvl w:val="0"/>
          <w:numId w:val="7"/>
        </w:numPr>
        <w:spacing w:after="0" w:line="240" w:lineRule="auto"/>
      </w:pPr>
      <w:r w:rsidRPr="008B0AD9">
        <w:rPr>
          <w:i/>
        </w:rPr>
        <w:t>Publiczne</w:t>
      </w:r>
    </w:p>
    <w:p w:rsidR="00F601DA" w:rsidRPr="008B0AD9" w:rsidRDefault="00F601DA" w:rsidP="00F601DA">
      <w:pPr>
        <w:numPr>
          <w:ilvl w:val="0"/>
          <w:numId w:val="7"/>
        </w:numPr>
        <w:spacing w:after="0" w:line="240" w:lineRule="auto"/>
      </w:pPr>
      <w:r w:rsidRPr="008B0AD9">
        <w:rPr>
          <w:i/>
        </w:rPr>
        <w:t>Prywatne</w:t>
      </w:r>
    </w:p>
    <w:p w:rsidR="00F601DA" w:rsidRPr="008B0AD9" w:rsidRDefault="00F601DA" w:rsidP="00F601DA">
      <w:pPr>
        <w:ind w:left="360"/>
        <w:rPr>
          <w:i/>
        </w:rPr>
      </w:pPr>
    </w:p>
    <w:p w:rsidR="00F601DA" w:rsidRPr="008B0AD9" w:rsidRDefault="00F601DA" w:rsidP="00F601DA">
      <w:pPr>
        <w:numPr>
          <w:ilvl w:val="0"/>
          <w:numId w:val="8"/>
        </w:numPr>
        <w:spacing w:after="0" w:line="240" w:lineRule="auto"/>
      </w:pPr>
      <w:r w:rsidRPr="008B0AD9">
        <w:rPr>
          <w:i/>
        </w:rPr>
        <w:t>Ogólne</w:t>
      </w:r>
      <w:r w:rsidRPr="008B0AD9">
        <w:t xml:space="preserve"> – o szerokim charakterze źródłowym.</w:t>
      </w:r>
    </w:p>
    <w:p w:rsidR="00F601DA" w:rsidRPr="008B0AD9" w:rsidRDefault="00F601DA" w:rsidP="00F601DA">
      <w:pPr>
        <w:numPr>
          <w:ilvl w:val="0"/>
          <w:numId w:val="8"/>
        </w:numPr>
        <w:spacing w:after="0" w:line="240" w:lineRule="auto"/>
      </w:pPr>
      <w:r w:rsidRPr="008B0AD9">
        <w:rPr>
          <w:i/>
        </w:rPr>
        <w:t>Specjalne</w:t>
      </w:r>
      <w:r w:rsidRPr="008B0AD9">
        <w:t xml:space="preserve"> – o jednorazowym zasobie np. Archiwum Literackie; mat. bankowe.</w:t>
      </w:r>
    </w:p>
    <w:p w:rsidR="00F601DA" w:rsidRPr="008B0AD9" w:rsidRDefault="00F601DA" w:rsidP="00F601DA"/>
    <w:p w:rsidR="00F601DA" w:rsidRPr="008B0AD9" w:rsidRDefault="00F601DA" w:rsidP="00F601DA">
      <w:pPr>
        <w:pStyle w:val="NormalnyWeb"/>
        <w:rPr>
          <w:rFonts w:asciiTheme="minorHAnsi" w:hAnsiTheme="minorHAnsi"/>
          <w:sz w:val="22"/>
          <w:szCs w:val="22"/>
        </w:rPr>
      </w:pPr>
      <w:r w:rsidRPr="008B0AD9">
        <w:rPr>
          <w:rStyle w:val="Nagwek1Znak"/>
        </w:rPr>
        <w:t>6.  Materiały archiwalne (archiwalia)</w:t>
      </w:r>
      <w:r w:rsidRPr="008B0AD9">
        <w:rPr>
          <w:rFonts w:asciiTheme="minorHAnsi" w:hAnsiTheme="minorHAnsi"/>
          <w:sz w:val="22"/>
          <w:szCs w:val="22"/>
        </w:rPr>
        <w:t xml:space="preserve"> – są to, zgodnie z polskim prawem archiwalnym, dokumenty przechowywane wieczyście, oznaczane symbolem kategorii archiwalnej "A"; materiały archiwalne powstają m.in. w jednostkach organizacyjnych wytypowanych i znajdujących się pod nadzorem właściwego </w:t>
      </w:r>
      <w:hyperlink r:id="rId13" w:tooltip="Archiwum państwowe" w:history="1">
        <w:r w:rsidRPr="008B0AD9">
          <w:rPr>
            <w:rStyle w:val="Hipercze"/>
            <w:rFonts w:asciiTheme="minorHAnsi" w:hAnsiTheme="minorHAnsi"/>
            <w:color w:val="auto"/>
            <w:sz w:val="22"/>
            <w:szCs w:val="22"/>
            <w:u w:val="none"/>
          </w:rPr>
          <w:t>archiwum państwowego</w:t>
        </w:r>
      </w:hyperlink>
      <w:r w:rsidRPr="008B0AD9">
        <w:rPr>
          <w:rFonts w:asciiTheme="minorHAnsi" w:hAnsiTheme="minorHAnsi"/>
          <w:sz w:val="22"/>
          <w:szCs w:val="22"/>
        </w:rPr>
        <w:t>. Do materiałów archiwalnych zalicza się m.in. następujące rodzaje dokumentów wytwarzanych przez w/w jednostki:</w:t>
      </w:r>
    </w:p>
    <w:p w:rsidR="00F601DA" w:rsidRPr="00F601DA" w:rsidRDefault="00F601DA" w:rsidP="00F601DA">
      <w:pPr>
        <w:numPr>
          <w:ilvl w:val="0"/>
          <w:numId w:val="9"/>
        </w:numPr>
        <w:spacing w:before="100" w:beforeAutospacing="1" w:after="100" w:afterAutospacing="1" w:line="240" w:lineRule="auto"/>
        <w:rPr>
          <w:rFonts w:eastAsia="Times New Roman" w:cs="Times New Roman"/>
          <w:lang w:eastAsia="pl-PL"/>
        </w:rPr>
      </w:pPr>
      <w:r w:rsidRPr="00F601DA">
        <w:rPr>
          <w:rFonts w:eastAsia="Times New Roman" w:cs="Times New Roman"/>
          <w:lang w:eastAsia="pl-PL"/>
        </w:rPr>
        <w:t>statuty, regulaminy, schematy organizacyjne,</w:t>
      </w:r>
    </w:p>
    <w:p w:rsidR="00F601DA" w:rsidRPr="00F601DA" w:rsidRDefault="00F601DA" w:rsidP="00F601DA">
      <w:pPr>
        <w:numPr>
          <w:ilvl w:val="0"/>
          <w:numId w:val="9"/>
        </w:numPr>
        <w:spacing w:before="100" w:beforeAutospacing="1" w:after="100" w:afterAutospacing="1" w:line="240" w:lineRule="auto"/>
        <w:rPr>
          <w:rFonts w:eastAsia="Times New Roman" w:cs="Times New Roman"/>
          <w:lang w:eastAsia="pl-PL"/>
        </w:rPr>
      </w:pPr>
      <w:r w:rsidRPr="00F601DA">
        <w:rPr>
          <w:rFonts w:eastAsia="Times New Roman" w:cs="Times New Roman"/>
          <w:lang w:eastAsia="pl-PL"/>
        </w:rPr>
        <w:t>protokoły z posiedzeń organów kolegialnych,</w:t>
      </w:r>
    </w:p>
    <w:p w:rsidR="00F601DA" w:rsidRPr="00F601DA" w:rsidRDefault="00F601DA" w:rsidP="00F601DA">
      <w:pPr>
        <w:numPr>
          <w:ilvl w:val="0"/>
          <w:numId w:val="9"/>
        </w:numPr>
        <w:spacing w:before="100" w:beforeAutospacing="1" w:after="100" w:afterAutospacing="1" w:line="240" w:lineRule="auto"/>
        <w:rPr>
          <w:rFonts w:eastAsia="Times New Roman" w:cs="Times New Roman"/>
          <w:lang w:eastAsia="pl-PL"/>
        </w:rPr>
      </w:pPr>
      <w:r w:rsidRPr="00F601DA">
        <w:rPr>
          <w:rFonts w:eastAsia="Times New Roman" w:cs="Times New Roman"/>
          <w:lang w:eastAsia="pl-PL"/>
        </w:rPr>
        <w:t>sprawozdania, plany, analizy,</w:t>
      </w:r>
    </w:p>
    <w:p w:rsidR="00F601DA" w:rsidRPr="00F601DA" w:rsidRDefault="00F601DA" w:rsidP="00F601DA">
      <w:pPr>
        <w:numPr>
          <w:ilvl w:val="0"/>
          <w:numId w:val="9"/>
        </w:numPr>
        <w:spacing w:before="100" w:beforeAutospacing="1" w:after="100" w:afterAutospacing="1" w:line="240" w:lineRule="auto"/>
        <w:rPr>
          <w:rFonts w:eastAsia="Times New Roman" w:cs="Times New Roman"/>
          <w:lang w:eastAsia="pl-PL"/>
        </w:rPr>
      </w:pPr>
      <w:r w:rsidRPr="00F601DA">
        <w:rPr>
          <w:rFonts w:eastAsia="Times New Roman" w:cs="Times New Roman"/>
          <w:lang w:eastAsia="pl-PL"/>
        </w:rPr>
        <w:t>dokumentację kadrową w przypadku osób mających znaczenie dla regionu lub kraju,</w:t>
      </w:r>
    </w:p>
    <w:p w:rsidR="00F601DA" w:rsidRPr="00F601DA" w:rsidRDefault="00F601DA" w:rsidP="00F601DA">
      <w:pPr>
        <w:numPr>
          <w:ilvl w:val="0"/>
          <w:numId w:val="9"/>
        </w:numPr>
        <w:spacing w:before="100" w:beforeAutospacing="1" w:after="100" w:afterAutospacing="1" w:line="240" w:lineRule="auto"/>
        <w:rPr>
          <w:rFonts w:eastAsia="Times New Roman" w:cs="Times New Roman"/>
          <w:lang w:eastAsia="pl-PL"/>
        </w:rPr>
      </w:pPr>
      <w:r w:rsidRPr="00F601DA">
        <w:rPr>
          <w:rFonts w:eastAsia="Times New Roman" w:cs="Times New Roman"/>
          <w:lang w:eastAsia="pl-PL"/>
        </w:rPr>
        <w:t>księgi stanu cywilnego,</w:t>
      </w:r>
    </w:p>
    <w:p w:rsidR="00F601DA" w:rsidRPr="00F601DA" w:rsidRDefault="00F601DA" w:rsidP="00F601DA">
      <w:pPr>
        <w:numPr>
          <w:ilvl w:val="0"/>
          <w:numId w:val="9"/>
        </w:numPr>
        <w:spacing w:before="100" w:beforeAutospacing="1" w:after="100" w:afterAutospacing="1" w:line="240" w:lineRule="auto"/>
        <w:rPr>
          <w:rFonts w:eastAsia="Times New Roman" w:cs="Times New Roman"/>
          <w:lang w:eastAsia="pl-PL"/>
        </w:rPr>
      </w:pPr>
      <w:r w:rsidRPr="00F601DA">
        <w:rPr>
          <w:rFonts w:eastAsia="Times New Roman" w:cs="Times New Roman"/>
          <w:lang w:eastAsia="pl-PL"/>
        </w:rPr>
        <w:lastRenderedPageBreak/>
        <w:t>rejestry publiczne (hipoteki; notariaty, rejestry zastawów),</w:t>
      </w:r>
    </w:p>
    <w:p w:rsidR="00F601DA" w:rsidRPr="00F601DA" w:rsidRDefault="00F601DA" w:rsidP="00F601DA">
      <w:pPr>
        <w:numPr>
          <w:ilvl w:val="0"/>
          <w:numId w:val="9"/>
        </w:numPr>
        <w:spacing w:before="100" w:beforeAutospacing="1" w:after="100" w:afterAutospacing="1" w:line="240" w:lineRule="auto"/>
        <w:rPr>
          <w:rFonts w:eastAsia="Times New Roman" w:cs="Times New Roman"/>
          <w:lang w:eastAsia="pl-PL"/>
        </w:rPr>
      </w:pPr>
      <w:r w:rsidRPr="00F601DA">
        <w:rPr>
          <w:rFonts w:eastAsia="Times New Roman" w:cs="Times New Roman"/>
          <w:lang w:eastAsia="pl-PL"/>
        </w:rPr>
        <w:t>akta sądowe,</w:t>
      </w:r>
    </w:p>
    <w:p w:rsidR="00F601DA" w:rsidRPr="00F601DA" w:rsidRDefault="00F601DA" w:rsidP="00F601DA">
      <w:pPr>
        <w:numPr>
          <w:ilvl w:val="0"/>
          <w:numId w:val="9"/>
        </w:numPr>
        <w:spacing w:before="100" w:beforeAutospacing="1" w:after="100" w:afterAutospacing="1" w:line="240" w:lineRule="auto"/>
        <w:rPr>
          <w:rFonts w:eastAsia="Times New Roman" w:cs="Times New Roman"/>
          <w:lang w:eastAsia="pl-PL"/>
        </w:rPr>
      </w:pPr>
      <w:r w:rsidRPr="00F601DA">
        <w:rPr>
          <w:rFonts w:eastAsia="Times New Roman" w:cs="Times New Roman"/>
          <w:lang w:eastAsia="pl-PL"/>
        </w:rPr>
        <w:t>oryginały map, planów,</w:t>
      </w:r>
    </w:p>
    <w:p w:rsidR="00F601DA" w:rsidRPr="00F601DA" w:rsidRDefault="00F601DA" w:rsidP="00F601DA">
      <w:pPr>
        <w:numPr>
          <w:ilvl w:val="0"/>
          <w:numId w:val="9"/>
        </w:numPr>
        <w:spacing w:before="100" w:beforeAutospacing="1" w:after="100" w:afterAutospacing="1" w:line="240" w:lineRule="auto"/>
        <w:rPr>
          <w:rFonts w:eastAsia="Times New Roman" w:cs="Times New Roman"/>
          <w:lang w:eastAsia="pl-PL"/>
        </w:rPr>
      </w:pPr>
      <w:r w:rsidRPr="00F601DA">
        <w:rPr>
          <w:rFonts w:eastAsia="Times New Roman" w:cs="Times New Roman"/>
          <w:lang w:eastAsia="pl-PL"/>
        </w:rPr>
        <w:t>dokumentację techniczną o istotnym znaczeniu,</w:t>
      </w:r>
    </w:p>
    <w:p w:rsidR="00F601DA" w:rsidRPr="00F601DA" w:rsidRDefault="00F601DA" w:rsidP="00F601DA">
      <w:pPr>
        <w:spacing w:before="100" w:beforeAutospacing="1" w:after="100" w:afterAutospacing="1" w:line="240" w:lineRule="auto"/>
        <w:rPr>
          <w:rFonts w:eastAsia="Times New Roman" w:cs="Times New Roman"/>
          <w:lang w:eastAsia="pl-PL"/>
        </w:rPr>
      </w:pPr>
      <w:r w:rsidRPr="00F601DA">
        <w:rPr>
          <w:rFonts w:eastAsia="Times New Roman" w:cs="Times New Roman"/>
          <w:lang w:eastAsia="pl-PL"/>
        </w:rPr>
        <w:t>a także:</w:t>
      </w:r>
    </w:p>
    <w:p w:rsidR="00F601DA" w:rsidRDefault="00581610" w:rsidP="00F601DA">
      <w:pPr>
        <w:numPr>
          <w:ilvl w:val="0"/>
          <w:numId w:val="10"/>
        </w:numPr>
        <w:spacing w:before="100" w:beforeAutospacing="1" w:after="100" w:afterAutospacing="1" w:line="240" w:lineRule="auto"/>
        <w:rPr>
          <w:rFonts w:eastAsia="Times New Roman" w:cs="Times New Roman"/>
          <w:lang w:eastAsia="pl-PL"/>
        </w:rPr>
      </w:pPr>
      <w:hyperlink r:id="rId14" w:tooltip="Instrukcja kancelaryjna" w:history="1">
        <w:r w:rsidR="00F601DA" w:rsidRPr="008B0AD9">
          <w:rPr>
            <w:rFonts w:eastAsia="Times New Roman" w:cs="Times New Roman"/>
            <w:lang w:eastAsia="pl-PL"/>
          </w:rPr>
          <w:t>Instrukcję kancelaryjną</w:t>
        </w:r>
      </w:hyperlink>
      <w:r w:rsidR="00F601DA" w:rsidRPr="00F601DA">
        <w:rPr>
          <w:rFonts w:eastAsia="Times New Roman" w:cs="Times New Roman"/>
          <w:lang w:eastAsia="pl-PL"/>
        </w:rPr>
        <w:t xml:space="preserve"> i </w:t>
      </w:r>
      <w:hyperlink r:id="rId15" w:tooltip="Instrukcja archiwalna" w:history="1">
        <w:r w:rsidR="00F601DA" w:rsidRPr="008B0AD9">
          <w:rPr>
            <w:rFonts w:eastAsia="Times New Roman" w:cs="Times New Roman"/>
            <w:lang w:eastAsia="pl-PL"/>
          </w:rPr>
          <w:t>Instrukcję archiwalną</w:t>
        </w:r>
      </w:hyperlink>
      <w:r w:rsidR="00F601DA" w:rsidRPr="00F601DA">
        <w:rPr>
          <w:rFonts w:eastAsia="Times New Roman" w:cs="Times New Roman"/>
          <w:lang w:eastAsia="pl-PL"/>
        </w:rPr>
        <w:t xml:space="preserve"> oraz </w:t>
      </w:r>
      <w:hyperlink r:id="rId16" w:tooltip="Ewidencja archiwum zakładowego" w:history="1">
        <w:r w:rsidR="00F601DA" w:rsidRPr="008B0AD9">
          <w:rPr>
            <w:rFonts w:eastAsia="Times New Roman" w:cs="Times New Roman"/>
            <w:lang w:eastAsia="pl-PL"/>
          </w:rPr>
          <w:t>ewidencję zasobu archiwum zakładowego</w:t>
        </w:r>
      </w:hyperlink>
      <w:r w:rsidR="00F601DA" w:rsidRPr="00F601DA">
        <w:rPr>
          <w:rFonts w:eastAsia="Times New Roman" w:cs="Times New Roman"/>
          <w:lang w:eastAsia="pl-PL"/>
        </w:rPr>
        <w:t>.</w:t>
      </w:r>
    </w:p>
    <w:p w:rsidR="008B0AD9" w:rsidRPr="00DA66C8" w:rsidRDefault="008B0AD9" w:rsidP="008B0AD9">
      <w:pPr>
        <w:spacing w:before="100" w:beforeAutospacing="1" w:after="100" w:afterAutospacing="1" w:line="240" w:lineRule="auto"/>
        <w:ind w:left="720"/>
      </w:pPr>
      <w:r w:rsidRPr="008B0AD9">
        <w:rPr>
          <w:rStyle w:val="Nagwek1Znak"/>
        </w:rPr>
        <w:t xml:space="preserve">7. dokumentacja </w:t>
      </w:r>
      <w:proofErr w:type="spellStart"/>
      <w:r w:rsidRPr="008B0AD9">
        <w:rPr>
          <w:rStyle w:val="Nagwek1Znak"/>
        </w:rPr>
        <w:t>niearchiwalna</w:t>
      </w:r>
      <w:proofErr w:type="spellEnd"/>
      <w:r>
        <w:t xml:space="preserve"> – oznaczana jest symbolem "B" i stanowi </w:t>
      </w:r>
      <w:r w:rsidRPr="00DA66C8">
        <w:t xml:space="preserve">odrębną niż </w:t>
      </w:r>
      <w:hyperlink r:id="rId17" w:tooltip="Materiały archiwalne" w:history="1">
        <w:r w:rsidRPr="00DA66C8">
          <w:rPr>
            <w:rStyle w:val="Hipercze"/>
            <w:color w:val="auto"/>
            <w:u w:val="none"/>
          </w:rPr>
          <w:t>materiały archiwalne</w:t>
        </w:r>
      </w:hyperlink>
      <w:r w:rsidRPr="00DA66C8">
        <w:t xml:space="preserve"> grupę dokumentacji o typowo użytkowym przeznaczeniu i czasowym okresie przechowywania.</w:t>
      </w:r>
    </w:p>
    <w:p w:rsidR="008B0AD9" w:rsidRPr="00DA66C8" w:rsidRDefault="008B0AD9" w:rsidP="008B0AD9">
      <w:pPr>
        <w:pStyle w:val="Akapitzlist"/>
        <w:numPr>
          <w:ilvl w:val="0"/>
          <w:numId w:val="13"/>
        </w:numPr>
        <w:spacing w:before="100" w:beforeAutospacing="1" w:after="100" w:afterAutospacing="1" w:line="240" w:lineRule="auto"/>
      </w:pPr>
      <w:r w:rsidRPr="00DA66C8">
        <w:t xml:space="preserve">Dokumentacja </w:t>
      </w:r>
      <w:proofErr w:type="spellStart"/>
      <w:r w:rsidRPr="00DA66C8">
        <w:t>niearchiwalna</w:t>
      </w:r>
      <w:proofErr w:type="spellEnd"/>
      <w:r w:rsidRPr="00DA66C8">
        <w:t xml:space="preserve"> "B" z dodaniem cyfr arabskich, np. 5, 10, 25, 50 oznacza </w:t>
      </w:r>
      <w:hyperlink r:id="rId18" w:tooltip="Dokument" w:history="1">
        <w:r w:rsidRPr="00DA66C8">
          <w:rPr>
            <w:rStyle w:val="Hipercze"/>
            <w:color w:val="auto"/>
            <w:u w:val="none"/>
          </w:rPr>
          <w:t>dokumentację</w:t>
        </w:r>
      </w:hyperlink>
      <w:r w:rsidRPr="00DA66C8">
        <w:t xml:space="preserve">, która po tych okresach przechowywania (np. po 5 latach) jest </w:t>
      </w:r>
      <w:hyperlink r:id="rId19" w:tooltip="Ewidencja archiwum zakładowego" w:history="1">
        <w:r w:rsidRPr="00DA66C8">
          <w:rPr>
            <w:rStyle w:val="Hipercze"/>
            <w:color w:val="auto"/>
            <w:u w:val="none"/>
          </w:rPr>
          <w:t>brakowana</w:t>
        </w:r>
      </w:hyperlink>
    </w:p>
    <w:p w:rsidR="008B0AD9" w:rsidRPr="00DA66C8" w:rsidRDefault="008B0AD9" w:rsidP="008B0AD9">
      <w:pPr>
        <w:pStyle w:val="Akapitzlist"/>
        <w:numPr>
          <w:ilvl w:val="0"/>
          <w:numId w:val="13"/>
        </w:numPr>
        <w:spacing w:before="100" w:beforeAutospacing="1" w:after="100" w:afterAutospacing="1" w:line="240" w:lineRule="auto"/>
      </w:pPr>
      <w:r w:rsidRPr="00DA66C8">
        <w:t xml:space="preserve">Dokumentacja </w:t>
      </w:r>
      <w:proofErr w:type="spellStart"/>
      <w:r w:rsidRPr="00DA66C8">
        <w:t>niearchiwalna</w:t>
      </w:r>
      <w:proofErr w:type="spellEnd"/>
      <w:r w:rsidRPr="00DA66C8">
        <w:t xml:space="preserve"> o symbolu "</w:t>
      </w:r>
      <w:proofErr w:type="spellStart"/>
      <w:r w:rsidRPr="00DA66C8">
        <w:t>Bc</w:t>
      </w:r>
      <w:proofErr w:type="spellEnd"/>
      <w:r w:rsidRPr="00DA66C8">
        <w:t xml:space="preserve">" oznacza taki rodzaj wytworzonej dokumentacji, której wartość dla </w:t>
      </w:r>
      <w:hyperlink r:id="rId20" w:tooltip="Aktotwórca" w:history="1">
        <w:proofErr w:type="spellStart"/>
        <w:r w:rsidRPr="00DA66C8">
          <w:rPr>
            <w:rStyle w:val="Hipercze"/>
            <w:color w:val="auto"/>
            <w:u w:val="none"/>
          </w:rPr>
          <w:t>aktotwórcy</w:t>
        </w:r>
        <w:proofErr w:type="spellEnd"/>
      </w:hyperlink>
      <w:r w:rsidRPr="00DA66C8">
        <w:t xml:space="preserve"> jest nieokreślona czasowo (inne ich określenie dokumentacja manipulacyjna</w:t>
      </w:r>
    </w:p>
    <w:p w:rsidR="008B0AD9" w:rsidRPr="00DA66C8" w:rsidRDefault="008B0AD9" w:rsidP="008B0AD9">
      <w:pPr>
        <w:pStyle w:val="Akapitzlist"/>
        <w:numPr>
          <w:ilvl w:val="0"/>
          <w:numId w:val="13"/>
        </w:numPr>
        <w:spacing w:before="100" w:beforeAutospacing="1" w:after="100" w:afterAutospacing="1" w:line="240" w:lineRule="auto"/>
        <w:rPr>
          <w:rFonts w:eastAsia="Times New Roman" w:cs="Times New Roman"/>
          <w:lang w:eastAsia="pl-PL"/>
        </w:rPr>
      </w:pPr>
      <w:r w:rsidRPr="00DA66C8">
        <w:t xml:space="preserve">Dokumentacja </w:t>
      </w:r>
      <w:proofErr w:type="spellStart"/>
      <w:r w:rsidRPr="00DA66C8">
        <w:t>niearchiwalna</w:t>
      </w:r>
      <w:proofErr w:type="spellEnd"/>
      <w:r w:rsidRPr="00DA66C8">
        <w:t xml:space="preserve"> o symbolu "BE" oznacza dokumentację, która po okresie przechowywania (np. 5 lub 10 latach) poddawana jest </w:t>
      </w:r>
      <w:hyperlink r:id="rId21" w:tooltip="Ekspertyza" w:history="1">
        <w:r w:rsidRPr="00DA66C8">
          <w:rPr>
            <w:rStyle w:val="Hipercze"/>
            <w:color w:val="auto"/>
            <w:u w:val="none"/>
          </w:rPr>
          <w:t>ekspertyzie</w:t>
        </w:r>
      </w:hyperlink>
      <w:r w:rsidRPr="00DA66C8">
        <w:t xml:space="preserve"> i albo, z uwagi na znaczenie, okres jej przechowywania wydłuża się (istnieje też możliwość przekwalifikowania jej na </w:t>
      </w:r>
      <w:hyperlink r:id="rId22" w:tooltip="Materiały archiwalne" w:history="1">
        <w:r w:rsidRPr="00DA66C8">
          <w:rPr>
            <w:rStyle w:val="Hipercze"/>
            <w:color w:val="auto"/>
            <w:u w:val="none"/>
          </w:rPr>
          <w:t>materiały archiwalne</w:t>
        </w:r>
      </w:hyperlink>
      <w:r w:rsidRPr="00DA66C8">
        <w:t>), albo jest w normalnym, określonym trybie brakowana.</w:t>
      </w:r>
    </w:p>
    <w:p w:rsidR="00173063" w:rsidRPr="008B0AD9" w:rsidRDefault="008B0AD9" w:rsidP="00173063">
      <w:pPr>
        <w:pStyle w:val="NormalnyWeb"/>
        <w:rPr>
          <w:rFonts w:asciiTheme="minorHAnsi" w:hAnsiTheme="minorHAnsi"/>
          <w:sz w:val="22"/>
          <w:szCs w:val="22"/>
        </w:rPr>
      </w:pPr>
      <w:r>
        <w:rPr>
          <w:rStyle w:val="Nagwek1Znak"/>
        </w:rPr>
        <w:t>8</w:t>
      </w:r>
      <w:r w:rsidR="00173063" w:rsidRPr="008B0AD9">
        <w:rPr>
          <w:rStyle w:val="Nagwek1Znak"/>
        </w:rPr>
        <w:t>. Ustawa z dnia 14 lipca 1983 r. o narodowym zasobie archiwalnym i archiwach,</w:t>
      </w:r>
      <w:r w:rsidR="00173063" w:rsidRPr="008B0AD9">
        <w:rPr>
          <w:rFonts w:asciiTheme="minorHAnsi" w:hAnsiTheme="minorHAnsi"/>
          <w:sz w:val="22"/>
          <w:szCs w:val="22"/>
        </w:rPr>
        <w:t xml:space="preserve"> w skrócie zwana czasem </w:t>
      </w:r>
      <w:r w:rsidR="00173063" w:rsidRPr="008B0AD9">
        <w:rPr>
          <w:rFonts w:asciiTheme="minorHAnsi" w:hAnsiTheme="minorHAnsi"/>
          <w:b/>
          <w:bCs/>
          <w:i/>
          <w:iCs/>
          <w:sz w:val="22"/>
          <w:szCs w:val="22"/>
        </w:rPr>
        <w:t xml:space="preserve">ustawą archiwalną </w:t>
      </w:r>
      <w:r w:rsidR="00173063" w:rsidRPr="008B0AD9">
        <w:rPr>
          <w:rFonts w:asciiTheme="minorHAnsi" w:hAnsiTheme="minorHAnsi"/>
          <w:sz w:val="22"/>
          <w:szCs w:val="22"/>
        </w:rPr>
        <w:t>Ustawa archiwalna w obecnym kształcie składa się z 9 rozdziałów:</w:t>
      </w:r>
    </w:p>
    <w:p w:rsidR="00173063" w:rsidRPr="00173063" w:rsidRDefault="00173063" w:rsidP="00173063">
      <w:pPr>
        <w:numPr>
          <w:ilvl w:val="0"/>
          <w:numId w:val="11"/>
        </w:numPr>
        <w:spacing w:before="100" w:beforeAutospacing="1" w:after="100" w:afterAutospacing="1" w:line="240" w:lineRule="auto"/>
        <w:rPr>
          <w:rFonts w:eastAsia="Times New Roman" w:cs="Times New Roman"/>
          <w:lang w:eastAsia="pl-PL"/>
        </w:rPr>
      </w:pPr>
      <w:r w:rsidRPr="00173063">
        <w:rPr>
          <w:rFonts w:eastAsia="Times New Roman" w:cs="Times New Roman"/>
          <w:lang w:eastAsia="pl-PL"/>
        </w:rPr>
        <w:t>Przepisy ogólne,</w:t>
      </w:r>
    </w:p>
    <w:p w:rsidR="00173063" w:rsidRPr="00173063" w:rsidRDefault="00173063" w:rsidP="00173063">
      <w:pPr>
        <w:numPr>
          <w:ilvl w:val="0"/>
          <w:numId w:val="11"/>
        </w:numPr>
        <w:spacing w:before="100" w:beforeAutospacing="1" w:after="100" w:afterAutospacing="1" w:line="240" w:lineRule="auto"/>
        <w:rPr>
          <w:rFonts w:eastAsia="Times New Roman" w:cs="Times New Roman"/>
          <w:lang w:eastAsia="pl-PL"/>
        </w:rPr>
      </w:pPr>
      <w:r w:rsidRPr="00173063">
        <w:rPr>
          <w:rFonts w:eastAsia="Times New Roman" w:cs="Times New Roman"/>
          <w:lang w:eastAsia="pl-PL"/>
        </w:rPr>
        <w:t xml:space="preserve">Postępowanie z </w:t>
      </w:r>
      <w:hyperlink r:id="rId23" w:tooltip="Materiały archiwalne" w:history="1">
        <w:r w:rsidRPr="008B0AD9">
          <w:rPr>
            <w:rFonts w:eastAsia="Times New Roman" w:cs="Times New Roman"/>
            <w:lang w:eastAsia="pl-PL"/>
          </w:rPr>
          <w:t>materiałami archiwalnymi</w:t>
        </w:r>
      </w:hyperlink>
      <w:r w:rsidRPr="00173063">
        <w:rPr>
          <w:rFonts w:eastAsia="Times New Roman" w:cs="Times New Roman"/>
          <w:lang w:eastAsia="pl-PL"/>
        </w:rPr>
        <w:t>,</w:t>
      </w:r>
    </w:p>
    <w:p w:rsidR="00173063" w:rsidRPr="00173063" w:rsidRDefault="00581610" w:rsidP="00173063">
      <w:pPr>
        <w:numPr>
          <w:ilvl w:val="0"/>
          <w:numId w:val="11"/>
        </w:numPr>
        <w:spacing w:before="100" w:beforeAutospacing="1" w:after="100" w:afterAutospacing="1" w:line="240" w:lineRule="auto"/>
        <w:rPr>
          <w:rFonts w:eastAsia="Times New Roman" w:cs="Times New Roman"/>
          <w:lang w:eastAsia="pl-PL"/>
        </w:rPr>
      </w:pPr>
      <w:hyperlink r:id="rId24" w:tooltip="Narodowy zasób archiwalny" w:history="1">
        <w:r w:rsidR="00173063" w:rsidRPr="008B0AD9">
          <w:rPr>
            <w:rFonts w:eastAsia="Times New Roman" w:cs="Times New Roman"/>
            <w:lang w:eastAsia="pl-PL"/>
          </w:rPr>
          <w:t>Państwowy zasób archiwalny</w:t>
        </w:r>
      </w:hyperlink>
      <w:r w:rsidR="00173063" w:rsidRPr="00173063">
        <w:rPr>
          <w:rFonts w:eastAsia="Times New Roman" w:cs="Times New Roman"/>
          <w:lang w:eastAsia="pl-PL"/>
        </w:rPr>
        <w:t>,</w:t>
      </w:r>
    </w:p>
    <w:p w:rsidR="00173063" w:rsidRPr="00173063" w:rsidRDefault="00581610" w:rsidP="00173063">
      <w:pPr>
        <w:numPr>
          <w:ilvl w:val="0"/>
          <w:numId w:val="11"/>
        </w:numPr>
        <w:spacing w:before="100" w:beforeAutospacing="1" w:after="100" w:afterAutospacing="1" w:line="240" w:lineRule="auto"/>
        <w:rPr>
          <w:rFonts w:eastAsia="Times New Roman" w:cs="Times New Roman"/>
          <w:lang w:eastAsia="pl-PL"/>
        </w:rPr>
      </w:pPr>
      <w:hyperlink r:id="rId25" w:tooltip="Narodowy zasób archiwalny" w:history="1">
        <w:r w:rsidR="00173063" w:rsidRPr="008B0AD9">
          <w:rPr>
            <w:rFonts w:eastAsia="Times New Roman" w:cs="Times New Roman"/>
            <w:lang w:eastAsia="pl-PL"/>
          </w:rPr>
          <w:t>Niepaństwowy zasób archiwalny</w:t>
        </w:r>
      </w:hyperlink>
      <w:r w:rsidR="00173063" w:rsidRPr="00173063">
        <w:rPr>
          <w:rFonts w:eastAsia="Times New Roman" w:cs="Times New Roman"/>
          <w:lang w:eastAsia="pl-PL"/>
        </w:rPr>
        <w:t>,</w:t>
      </w:r>
    </w:p>
    <w:p w:rsidR="00173063" w:rsidRPr="00173063" w:rsidRDefault="00173063" w:rsidP="00173063">
      <w:pPr>
        <w:numPr>
          <w:ilvl w:val="0"/>
          <w:numId w:val="11"/>
        </w:numPr>
        <w:spacing w:before="100" w:beforeAutospacing="1" w:after="100" w:afterAutospacing="1" w:line="240" w:lineRule="auto"/>
        <w:rPr>
          <w:rFonts w:eastAsia="Times New Roman" w:cs="Times New Roman"/>
          <w:lang w:eastAsia="pl-PL"/>
        </w:rPr>
      </w:pPr>
      <w:r w:rsidRPr="00173063">
        <w:rPr>
          <w:rFonts w:eastAsia="Times New Roman" w:cs="Times New Roman"/>
          <w:lang w:eastAsia="pl-PL"/>
        </w:rPr>
        <w:t>Działalność gospodarcza w zakresie przechowywania dokumentacji osobowej i płacowej pracodawców o czasowym okresie przechowywania,</w:t>
      </w:r>
    </w:p>
    <w:p w:rsidR="00173063" w:rsidRPr="00173063" w:rsidRDefault="00173063" w:rsidP="00173063">
      <w:pPr>
        <w:numPr>
          <w:ilvl w:val="0"/>
          <w:numId w:val="11"/>
        </w:numPr>
        <w:spacing w:before="100" w:beforeAutospacing="1" w:after="100" w:afterAutospacing="1" w:line="240" w:lineRule="auto"/>
        <w:rPr>
          <w:rFonts w:eastAsia="Times New Roman" w:cs="Times New Roman"/>
          <w:lang w:eastAsia="pl-PL"/>
        </w:rPr>
      </w:pPr>
      <w:r w:rsidRPr="00173063">
        <w:rPr>
          <w:rFonts w:eastAsia="Times New Roman" w:cs="Times New Roman"/>
          <w:lang w:eastAsia="pl-PL"/>
        </w:rPr>
        <w:t>Postępowanie z dokumentacją osobową i płacową w przypadku likwidacji lub upadłości pracodawcy,</w:t>
      </w:r>
    </w:p>
    <w:p w:rsidR="00173063" w:rsidRPr="00173063" w:rsidRDefault="00173063" w:rsidP="00173063">
      <w:pPr>
        <w:numPr>
          <w:ilvl w:val="0"/>
          <w:numId w:val="11"/>
        </w:numPr>
        <w:spacing w:before="100" w:beforeAutospacing="1" w:after="100" w:afterAutospacing="1" w:line="240" w:lineRule="auto"/>
        <w:rPr>
          <w:rFonts w:eastAsia="Times New Roman" w:cs="Times New Roman"/>
          <w:lang w:eastAsia="pl-PL"/>
        </w:rPr>
      </w:pPr>
      <w:r w:rsidRPr="00173063">
        <w:rPr>
          <w:rFonts w:eastAsia="Times New Roman" w:cs="Times New Roman"/>
          <w:lang w:eastAsia="pl-PL"/>
        </w:rPr>
        <w:t>Przepisy karne,</w:t>
      </w:r>
    </w:p>
    <w:p w:rsidR="00173063" w:rsidRPr="00173063" w:rsidRDefault="00173063" w:rsidP="00173063">
      <w:pPr>
        <w:numPr>
          <w:ilvl w:val="0"/>
          <w:numId w:val="11"/>
        </w:numPr>
        <w:spacing w:before="100" w:beforeAutospacing="1" w:after="100" w:afterAutospacing="1" w:line="240" w:lineRule="auto"/>
        <w:rPr>
          <w:rFonts w:eastAsia="Times New Roman" w:cs="Times New Roman"/>
          <w:lang w:eastAsia="pl-PL"/>
        </w:rPr>
      </w:pPr>
      <w:r w:rsidRPr="00173063">
        <w:rPr>
          <w:rFonts w:eastAsia="Times New Roman" w:cs="Times New Roman"/>
          <w:lang w:eastAsia="pl-PL"/>
        </w:rPr>
        <w:t>Zmiany w przepisach obowiązujących,</w:t>
      </w:r>
    </w:p>
    <w:p w:rsidR="00173063" w:rsidRPr="00173063" w:rsidRDefault="00173063" w:rsidP="00173063">
      <w:pPr>
        <w:numPr>
          <w:ilvl w:val="0"/>
          <w:numId w:val="11"/>
        </w:numPr>
        <w:spacing w:before="100" w:beforeAutospacing="1" w:after="100" w:afterAutospacing="1" w:line="240" w:lineRule="auto"/>
        <w:rPr>
          <w:rFonts w:eastAsia="Times New Roman" w:cs="Times New Roman"/>
          <w:lang w:eastAsia="pl-PL"/>
        </w:rPr>
      </w:pPr>
      <w:r w:rsidRPr="00173063">
        <w:rPr>
          <w:rFonts w:eastAsia="Times New Roman" w:cs="Times New Roman"/>
          <w:lang w:eastAsia="pl-PL"/>
        </w:rPr>
        <w:t>Przepisy przejściowe i końcowe.</w:t>
      </w:r>
    </w:p>
    <w:p w:rsidR="00F601DA" w:rsidRPr="008B0AD9" w:rsidRDefault="00173063" w:rsidP="006768DE">
      <w:r w:rsidRPr="008B0AD9">
        <w:t xml:space="preserve">Dla archiwistyki stanowi ona fundamentalny </w:t>
      </w:r>
      <w:hyperlink r:id="rId26" w:tooltip="Akt prawny" w:history="1">
        <w:r w:rsidRPr="008B0AD9">
          <w:rPr>
            <w:rStyle w:val="Hipercze"/>
            <w:color w:val="auto"/>
            <w:u w:val="none"/>
          </w:rPr>
          <w:t>akt prawny</w:t>
        </w:r>
      </w:hyperlink>
      <w:r w:rsidRPr="008B0AD9">
        <w:t xml:space="preserve">, który </w:t>
      </w:r>
      <w:hyperlink r:id="rId27" w:tooltip="Definicja" w:history="1">
        <w:r w:rsidRPr="008B0AD9">
          <w:rPr>
            <w:rStyle w:val="Hipercze"/>
            <w:color w:val="auto"/>
            <w:u w:val="none"/>
          </w:rPr>
          <w:t>definiuje</w:t>
        </w:r>
      </w:hyperlink>
      <w:r w:rsidRPr="008B0AD9">
        <w:t xml:space="preserve"> podstawowe pojęcia prawa archiwalnego, normuje zasady postępowania z </w:t>
      </w:r>
      <w:hyperlink r:id="rId28" w:tooltip="Materiały archiwalne" w:history="1">
        <w:r w:rsidRPr="008B0AD9">
          <w:rPr>
            <w:rStyle w:val="Hipercze"/>
            <w:color w:val="auto"/>
            <w:u w:val="none"/>
          </w:rPr>
          <w:t>materiałami archiwalnymi</w:t>
        </w:r>
      </w:hyperlink>
      <w:r w:rsidRPr="008B0AD9">
        <w:t xml:space="preserve">, określa </w:t>
      </w:r>
      <w:hyperlink r:id="rId29" w:tooltip="Sankcja" w:history="1">
        <w:r w:rsidRPr="008B0AD9">
          <w:rPr>
            <w:rStyle w:val="Hipercze"/>
            <w:color w:val="auto"/>
            <w:u w:val="none"/>
          </w:rPr>
          <w:t>sankcje prawno - karne</w:t>
        </w:r>
      </w:hyperlink>
    </w:p>
    <w:p w:rsidR="00173063" w:rsidRPr="008B0AD9" w:rsidRDefault="008B0AD9" w:rsidP="006768DE">
      <w:r>
        <w:rPr>
          <w:rStyle w:val="Nagwek1Znak"/>
        </w:rPr>
        <w:t>9</w:t>
      </w:r>
      <w:r w:rsidR="00173063" w:rsidRPr="008B0AD9">
        <w:rPr>
          <w:rStyle w:val="Nagwek1Znak"/>
        </w:rPr>
        <w:t>. Instrukcja kancelaryjna</w:t>
      </w:r>
      <w:r w:rsidR="00173063" w:rsidRPr="008B0AD9">
        <w:t xml:space="preserve"> – zbiór zasad i przepisów ustalających sposób postępowania z </w:t>
      </w:r>
      <w:hyperlink r:id="rId30" w:tooltip="Dokument" w:history="1">
        <w:r w:rsidR="00173063" w:rsidRPr="008B0AD9">
          <w:rPr>
            <w:rStyle w:val="Hipercze"/>
            <w:color w:val="auto"/>
            <w:u w:val="none"/>
          </w:rPr>
          <w:t>dokumentem</w:t>
        </w:r>
      </w:hyperlink>
      <w:r w:rsidR="00173063" w:rsidRPr="008B0AD9">
        <w:t xml:space="preserve">, który wpływa do </w:t>
      </w:r>
      <w:hyperlink r:id="rId31" w:tooltip="Urząd" w:history="1">
        <w:r w:rsidR="00173063" w:rsidRPr="008B0AD9">
          <w:rPr>
            <w:rStyle w:val="Hipercze"/>
            <w:color w:val="auto"/>
            <w:u w:val="none"/>
          </w:rPr>
          <w:t>urzędu</w:t>
        </w:r>
      </w:hyperlink>
      <w:r w:rsidR="00173063" w:rsidRPr="008B0AD9">
        <w:t xml:space="preserve"> lub jednostki organizacyjnej przedsiębiorstwa. </w:t>
      </w:r>
    </w:p>
    <w:p w:rsidR="00173063" w:rsidRPr="008B0AD9" w:rsidRDefault="008B0AD9" w:rsidP="00173063">
      <w:pPr>
        <w:pStyle w:val="NormalnyWeb"/>
        <w:rPr>
          <w:rFonts w:asciiTheme="minorHAnsi" w:hAnsiTheme="minorHAnsi"/>
          <w:sz w:val="22"/>
          <w:szCs w:val="22"/>
        </w:rPr>
      </w:pPr>
      <w:r>
        <w:rPr>
          <w:rStyle w:val="Nagwek1Znak"/>
        </w:rPr>
        <w:lastRenderedPageBreak/>
        <w:t>10</w:t>
      </w:r>
      <w:r w:rsidR="00173063" w:rsidRPr="008B0AD9">
        <w:rPr>
          <w:rStyle w:val="Nagwek1Znak"/>
        </w:rPr>
        <w:t>. System kancelaryjny</w:t>
      </w:r>
      <w:r w:rsidR="00173063" w:rsidRPr="008B0AD9">
        <w:rPr>
          <w:rFonts w:asciiTheme="minorHAnsi" w:hAnsiTheme="minorHAnsi"/>
          <w:sz w:val="22"/>
          <w:szCs w:val="22"/>
        </w:rPr>
        <w:t xml:space="preserve"> – sposób i zasady postępowania z dokumentacją wpływającą, wytwarzaną i wychodzącą w jednostce organizacyjnej (</w:t>
      </w:r>
      <w:hyperlink r:id="rId32" w:tooltip="Przedsiębiorstwo" w:history="1">
        <w:r w:rsidR="00173063" w:rsidRPr="008B0AD9">
          <w:rPr>
            <w:rFonts w:asciiTheme="minorHAnsi" w:hAnsiTheme="minorHAnsi"/>
            <w:sz w:val="22"/>
            <w:szCs w:val="22"/>
          </w:rPr>
          <w:t>przedsiębiorstwo</w:t>
        </w:r>
      </w:hyperlink>
      <w:r w:rsidR="00173063" w:rsidRPr="008B0AD9">
        <w:rPr>
          <w:rFonts w:asciiTheme="minorHAnsi" w:hAnsiTheme="minorHAnsi"/>
          <w:sz w:val="22"/>
          <w:szCs w:val="22"/>
        </w:rPr>
        <w:t xml:space="preserve">, </w:t>
      </w:r>
      <w:hyperlink r:id="rId33" w:tooltip="Urząd" w:history="1">
        <w:r w:rsidR="00173063" w:rsidRPr="008B0AD9">
          <w:rPr>
            <w:rFonts w:asciiTheme="minorHAnsi" w:hAnsiTheme="minorHAnsi"/>
            <w:sz w:val="22"/>
            <w:szCs w:val="22"/>
          </w:rPr>
          <w:t>urząd</w:t>
        </w:r>
      </w:hyperlink>
      <w:r w:rsidR="00173063" w:rsidRPr="008B0AD9">
        <w:rPr>
          <w:rFonts w:asciiTheme="minorHAnsi" w:hAnsiTheme="minorHAnsi"/>
          <w:sz w:val="22"/>
          <w:szCs w:val="22"/>
        </w:rPr>
        <w:t xml:space="preserve">) od chwili wszczęcia </w:t>
      </w:r>
      <w:hyperlink r:id="rId34" w:tooltip="Sprawa" w:history="1">
        <w:r w:rsidR="00173063" w:rsidRPr="008B0AD9">
          <w:rPr>
            <w:rFonts w:asciiTheme="minorHAnsi" w:hAnsiTheme="minorHAnsi"/>
            <w:sz w:val="22"/>
            <w:szCs w:val="22"/>
          </w:rPr>
          <w:t>sprawy</w:t>
        </w:r>
      </w:hyperlink>
      <w:r w:rsidR="00173063" w:rsidRPr="008B0AD9">
        <w:rPr>
          <w:rFonts w:asciiTheme="minorHAnsi" w:hAnsiTheme="minorHAnsi"/>
          <w:sz w:val="22"/>
          <w:szCs w:val="22"/>
        </w:rPr>
        <w:t xml:space="preserve"> do momentu przekazania </w:t>
      </w:r>
      <w:hyperlink r:id="rId35" w:tooltip="Dokumentacja" w:history="1">
        <w:r w:rsidR="00173063" w:rsidRPr="008B0AD9">
          <w:rPr>
            <w:rFonts w:asciiTheme="minorHAnsi" w:hAnsiTheme="minorHAnsi"/>
            <w:sz w:val="22"/>
            <w:szCs w:val="22"/>
          </w:rPr>
          <w:t>dokumentacji</w:t>
        </w:r>
      </w:hyperlink>
      <w:r w:rsidR="00173063" w:rsidRPr="008B0AD9">
        <w:rPr>
          <w:rFonts w:asciiTheme="minorHAnsi" w:hAnsiTheme="minorHAnsi"/>
          <w:sz w:val="22"/>
          <w:szCs w:val="22"/>
        </w:rPr>
        <w:t xml:space="preserve"> do </w:t>
      </w:r>
      <w:hyperlink r:id="rId36" w:tooltip="Archiwum zakładowe" w:history="1">
        <w:r w:rsidR="00173063" w:rsidRPr="008B0AD9">
          <w:rPr>
            <w:rFonts w:asciiTheme="minorHAnsi" w:hAnsiTheme="minorHAnsi"/>
            <w:sz w:val="22"/>
            <w:szCs w:val="22"/>
          </w:rPr>
          <w:t>archiwum zakładowego</w:t>
        </w:r>
      </w:hyperlink>
      <w:r w:rsidR="00173063" w:rsidRPr="008B0AD9">
        <w:rPr>
          <w:rFonts w:asciiTheme="minorHAnsi" w:hAnsiTheme="minorHAnsi"/>
          <w:sz w:val="22"/>
          <w:szCs w:val="22"/>
        </w:rPr>
        <w:t xml:space="preserve"> lub </w:t>
      </w:r>
      <w:hyperlink r:id="rId37" w:tooltip="Składnica" w:history="1">
        <w:r w:rsidR="00173063" w:rsidRPr="008B0AD9">
          <w:rPr>
            <w:rFonts w:asciiTheme="minorHAnsi" w:hAnsiTheme="minorHAnsi"/>
            <w:sz w:val="22"/>
            <w:szCs w:val="22"/>
          </w:rPr>
          <w:t>składnicy akt</w:t>
        </w:r>
      </w:hyperlink>
      <w:r w:rsidR="00173063" w:rsidRPr="008B0AD9">
        <w:rPr>
          <w:rFonts w:asciiTheme="minorHAnsi" w:hAnsiTheme="minorHAnsi"/>
          <w:sz w:val="22"/>
          <w:szCs w:val="22"/>
        </w:rPr>
        <w:t>.</w:t>
      </w:r>
    </w:p>
    <w:p w:rsidR="00173063" w:rsidRPr="00173063" w:rsidRDefault="00173063" w:rsidP="00173063">
      <w:pPr>
        <w:spacing w:before="100" w:beforeAutospacing="1" w:after="100" w:afterAutospacing="1" w:line="240" w:lineRule="auto"/>
        <w:rPr>
          <w:rFonts w:eastAsia="Times New Roman" w:cs="Times New Roman"/>
          <w:lang w:eastAsia="pl-PL"/>
        </w:rPr>
      </w:pPr>
      <w:r w:rsidRPr="00173063">
        <w:rPr>
          <w:rFonts w:eastAsia="Times New Roman" w:cs="Times New Roman"/>
          <w:lang w:eastAsia="pl-PL"/>
        </w:rPr>
        <w:t>Współcześnie w Polsce funkcjonują trzy systemy kancelaryjne:</w:t>
      </w:r>
    </w:p>
    <w:p w:rsidR="00173063" w:rsidRPr="008B0AD9" w:rsidRDefault="00173063" w:rsidP="00173063">
      <w:pPr>
        <w:numPr>
          <w:ilvl w:val="0"/>
          <w:numId w:val="12"/>
        </w:numPr>
        <w:spacing w:before="100" w:beforeAutospacing="1" w:after="100" w:afterAutospacing="1" w:line="240" w:lineRule="auto"/>
        <w:rPr>
          <w:rFonts w:eastAsia="Times New Roman" w:cs="Times New Roman"/>
          <w:lang w:eastAsia="pl-PL"/>
        </w:rPr>
      </w:pPr>
      <w:r w:rsidRPr="008B0AD9">
        <w:rPr>
          <w:rFonts w:eastAsia="Times New Roman" w:cs="Times New Roman"/>
          <w:lang w:eastAsia="pl-PL"/>
        </w:rPr>
        <w:t>D</w:t>
      </w:r>
      <w:r w:rsidRPr="00173063">
        <w:rPr>
          <w:rFonts w:eastAsia="Times New Roman" w:cs="Times New Roman"/>
          <w:lang w:eastAsia="pl-PL"/>
        </w:rPr>
        <w:t>ziennikowy</w:t>
      </w:r>
      <w:r w:rsidRPr="008B0AD9">
        <w:rPr>
          <w:rFonts w:eastAsia="Times New Roman" w:cs="Times New Roman"/>
          <w:lang w:eastAsia="pl-PL"/>
        </w:rPr>
        <w:t xml:space="preserve"> - </w:t>
      </w:r>
      <w:r w:rsidRPr="008B0AD9">
        <w:t xml:space="preserve">Pomocą kancelaryjną był </w:t>
      </w:r>
      <w:hyperlink r:id="rId38" w:tooltip="Dziennik podawczy (strona nie istnieje)" w:history="1">
        <w:r w:rsidRPr="008B0AD9">
          <w:rPr>
            <w:rStyle w:val="Hipercze"/>
            <w:b/>
            <w:bCs/>
            <w:color w:val="auto"/>
            <w:u w:val="none"/>
          </w:rPr>
          <w:t>dziennik podawczy</w:t>
        </w:r>
      </w:hyperlink>
      <w:r w:rsidRPr="008B0AD9">
        <w:rPr>
          <w:b/>
          <w:bCs/>
        </w:rPr>
        <w:t xml:space="preserve"> </w:t>
      </w:r>
      <w:r w:rsidRPr="008B0AD9">
        <w:t xml:space="preserve">w którym </w:t>
      </w:r>
      <w:hyperlink r:id="rId39" w:tooltip="Rejestr" w:history="1">
        <w:r w:rsidRPr="008B0AD9">
          <w:rPr>
            <w:rStyle w:val="Hipercze"/>
            <w:color w:val="auto"/>
            <w:u w:val="none"/>
          </w:rPr>
          <w:t>rejestrowane</w:t>
        </w:r>
      </w:hyperlink>
      <w:r w:rsidRPr="008B0AD9">
        <w:t xml:space="preserve"> były wszystkie </w:t>
      </w:r>
      <w:hyperlink r:id="rId40" w:tooltip="Pismo" w:history="1">
        <w:r w:rsidRPr="008B0AD9">
          <w:rPr>
            <w:rStyle w:val="Hipercze"/>
            <w:color w:val="auto"/>
            <w:u w:val="none"/>
          </w:rPr>
          <w:t>pisma</w:t>
        </w:r>
      </w:hyperlink>
      <w:r w:rsidRPr="008B0AD9">
        <w:t xml:space="preserve"> wpływające i wysyłane z jednostki organizacyjnej.  W tym systemie kancelaryjnym podstawową rolę odgrywa numer kolejny, pod którym rejestrowane jest pismo przychodzące lub wychodzące. Numer ten łamany przez rok daje nam </w:t>
      </w:r>
      <w:hyperlink r:id="rId41" w:tooltip="Znak pisma (strona nie istnieje)" w:history="1">
        <w:r w:rsidRPr="008B0AD9">
          <w:rPr>
            <w:rStyle w:val="Hipercze"/>
            <w:color w:val="auto"/>
            <w:u w:val="none"/>
          </w:rPr>
          <w:t>znak pisma</w:t>
        </w:r>
      </w:hyperlink>
      <w:r w:rsidRPr="008B0AD9">
        <w:t xml:space="preserve">. Np. </w:t>
      </w:r>
      <w:r w:rsidRPr="008B0AD9">
        <w:rPr>
          <w:rStyle w:val="HTML-staaszeroko"/>
          <w:rFonts w:asciiTheme="minorHAnsi" w:eastAsiaTheme="minorHAnsi" w:hAnsiTheme="minorHAnsi"/>
          <w:b/>
          <w:bCs/>
          <w:sz w:val="22"/>
          <w:szCs w:val="22"/>
        </w:rPr>
        <w:t>l. dz. 77/08</w:t>
      </w:r>
      <w:r w:rsidRPr="008B0AD9">
        <w:t xml:space="preserve"> oznacza, że pismo zostało zarejestrowane pod pozycją 77 w dzienniku podawczym w 2008 </w:t>
      </w:r>
      <w:proofErr w:type="spellStart"/>
      <w:r w:rsidRPr="008B0AD9">
        <w:t>r</w:t>
      </w:r>
      <w:proofErr w:type="spellEnd"/>
    </w:p>
    <w:p w:rsidR="008B0AD9" w:rsidRPr="00173063" w:rsidRDefault="008B0AD9" w:rsidP="008B0AD9">
      <w:pPr>
        <w:spacing w:before="100" w:beforeAutospacing="1" w:after="100" w:afterAutospacing="1" w:line="240" w:lineRule="auto"/>
        <w:ind w:left="720"/>
        <w:rPr>
          <w:rFonts w:eastAsia="Times New Roman" w:cs="Times New Roman"/>
          <w:lang w:eastAsia="pl-PL"/>
        </w:rPr>
      </w:pPr>
      <w:r w:rsidRPr="008B0AD9">
        <w:rPr>
          <w:rFonts w:eastAsia="Times New Roman" w:cs="Times New Roman"/>
          <w:noProof/>
          <w:lang w:eastAsia="pl-PL"/>
        </w:rPr>
        <w:drawing>
          <wp:inline distT="0" distB="0" distL="0" distR="0">
            <wp:extent cx="4786867" cy="2602912"/>
            <wp:effectExtent l="19050" t="0" r="0" b="0"/>
            <wp:docPr id="1" name="Obraz 0" descr="Dziennik_podawcz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ziennik_podawczy.JPG"/>
                    <pic:cNvPicPr/>
                  </pic:nvPicPr>
                  <pic:blipFill>
                    <a:blip r:embed="rId42" cstate="print"/>
                    <a:stretch>
                      <a:fillRect/>
                    </a:stretch>
                  </pic:blipFill>
                  <pic:spPr>
                    <a:xfrm>
                      <a:off x="0" y="0"/>
                      <a:ext cx="4783262" cy="2600952"/>
                    </a:xfrm>
                    <a:prstGeom prst="rect">
                      <a:avLst/>
                    </a:prstGeom>
                  </pic:spPr>
                </pic:pic>
              </a:graphicData>
            </a:graphic>
          </wp:inline>
        </w:drawing>
      </w:r>
    </w:p>
    <w:p w:rsidR="00173063" w:rsidRPr="008B0AD9" w:rsidRDefault="00173063" w:rsidP="00173063">
      <w:pPr>
        <w:numPr>
          <w:ilvl w:val="0"/>
          <w:numId w:val="12"/>
        </w:numPr>
        <w:spacing w:before="100" w:beforeAutospacing="1" w:after="100" w:afterAutospacing="1" w:line="240" w:lineRule="auto"/>
        <w:rPr>
          <w:rFonts w:eastAsia="Times New Roman" w:cs="Times New Roman"/>
          <w:lang w:eastAsia="pl-PL"/>
        </w:rPr>
      </w:pPr>
      <w:r w:rsidRPr="008B0AD9">
        <w:rPr>
          <w:rFonts w:eastAsia="Times New Roman" w:cs="Times New Roman"/>
          <w:lang w:eastAsia="pl-PL"/>
        </w:rPr>
        <w:t xml:space="preserve">Bezdziennikowym - </w:t>
      </w:r>
      <w:r w:rsidRPr="008B0AD9">
        <w:t xml:space="preserve">wprowadzony został do administracji państwowej w 1931.  odstąpiono od wielokrotnej rejestracji pism (zlikwidowano tradycyjny dziennik podawczy); obieg pism odbywał się bez pokwitowań. Ich funkcję przejęły </w:t>
      </w:r>
      <w:hyperlink r:id="rId43" w:tooltip="Spis spraw (strona nie istnieje)" w:history="1">
        <w:r w:rsidRPr="008B0AD9">
          <w:rPr>
            <w:rStyle w:val="Hipercze"/>
            <w:color w:val="auto"/>
            <w:u w:val="none"/>
          </w:rPr>
          <w:t>spisy spraw</w:t>
        </w:r>
      </w:hyperlink>
      <w:r w:rsidRPr="008B0AD9">
        <w:t xml:space="preserve"> - konkretna sprawa rejestrowana była tylko raz, kolejne pisma z nią związane rejestrowane były pod tym samym numerem sprawy</w:t>
      </w:r>
      <w:r w:rsidR="008B0AD9" w:rsidRPr="008B0AD9">
        <w:t xml:space="preserve">. zamiast numeru kolejnego z dziennika brany był numer z rejestru (spisu spraw). W ten sposób </w:t>
      </w:r>
      <w:hyperlink r:id="rId44" w:tooltip="Znak pisma (strona nie istnieje)" w:history="1">
        <w:r w:rsidR="008B0AD9" w:rsidRPr="008B0AD9">
          <w:rPr>
            <w:rStyle w:val="Hipercze"/>
            <w:color w:val="auto"/>
            <w:u w:val="none"/>
          </w:rPr>
          <w:t>znak pisma</w:t>
        </w:r>
      </w:hyperlink>
      <w:r w:rsidR="008B0AD9" w:rsidRPr="008B0AD9">
        <w:t xml:space="preserve">: </w:t>
      </w:r>
      <w:r w:rsidR="008B0AD9" w:rsidRPr="008B0AD9">
        <w:rPr>
          <w:rStyle w:val="HTML-staaszeroko"/>
          <w:rFonts w:asciiTheme="minorHAnsi" w:eastAsiaTheme="minorHAnsi" w:hAnsiTheme="minorHAnsi"/>
          <w:b/>
          <w:bCs/>
          <w:sz w:val="22"/>
          <w:szCs w:val="22"/>
        </w:rPr>
        <w:t>Og-021-3</w:t>
      </w:r>
      <w:r w:rsidR="008B0AD9" w:rsidRPr="008B0AD9">
        <w:t xml:space="preserve"> oznacza, że jest to trzecie pismo zarejestrowane w teczce oznaczonej 021 powstałe w wydziale o symbolu </w:t>
      </w:r>
      <w:proofErr w:type="spellStart"/>
      <w:r w:rsidR="008B0AD9" w:rsidRPr="008B0AD9">
        <w:rPr>
          <w:i/>
          <w:iCs/>
        </w:rPr>
        <w:t>Og</w:t>
      </w:r>
      <w:proofErr w:type="spellEnd"/>
      <w:r w:rsidR="008B0AD9" w:rsidRPr="008B0AD9">
        <w:t xml:space="preserve">. W tym systemie istotną rolę odgrywać też zaczął </w:t>
      </w:r>
      <w:hyperlink r:id="rId45" w:tooltip="Wykaz akt" w:history="1">
        <w:r w:rsidR="008B0AD9" w:rsidRPr="008B0AD9">
          <w:rPr>
            <w:rStyle w:val="Hipercze"/>
            <w:color w:val="auto"/>
            <w:u w:val="none"/>
          </w:rPr>
          <w:t>wykaz akt</w:t>
        </w:r>
      </w:hyperlink>
    </w:p>
    <w:p w:rsidR="008B0AD9" w:rsidRPr="00173063" w:rsidRDefault="008B0AD9" w:rsidP="008B0AD9">
      <w:pPr>
        <w:spacing w:before="100" w:beforeAutospacing="1" w:after="100" w:afterAutospacing="1" w:line="240" w:lineRule="auto"/>
        <w:ind w:left="720"/>
        <w:rPr>
          <w:rFonts w:eastAsia="Times New Roman" w:cs="Times New Roman"/>
          <w:lang w:eastAsia="pl-PL"/>
        </w:rPr>
      </w:pPr>
      <w:r w:rsidRPr="008B0AD9">
        <w:rPr>
          <w:rFonts w:eastAsia="Times New Roman" w:cs="Times New Roman"/>
          <w:noProof/>
          <w:lang w:eastAsia="pl-PL"/>
        </w:rPr>
        <w:drawing>
          <wp:inline distT="0" distB="0" distL="0" distR="0">
            <wp:extent cx="5760720" cy="1656080"/>
            <wp:effectExtent l="19050" t="0" r="0" b="0"/>
            <wp:docPr id="2" name="Obraz 1" descr="800px-Spis_spra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00px-Spis_spraw.jpg"/>
                    <pic:cNvPicPr/>
                  </pic:nvPicPr>
                  <pic:blipFill>
                    <a:blip r:embed="rId46" cstate="print"/>
                    <a:stretch>
                      <a:fillRect/>
                    </a:stretch>
                  </pic:blipFill>
                  <pic:spPr>
                    <a:xfrm>
                      <a:off x="0" y="0"/>
                      <a:ext cx="5760720" cy="1656080"/>
                    </a:xfrm>
                    <a:prstGeom prst="rect">
                      <a:avLst/>
                    </a:prstGeom>
                  </pic:spPr>
                </pic:pic>
              </a:graphicData>
            </a:graphic>
          </wp:inline>
        </w:drawing>
      </w:r>
    </w:p>
    <w:p w:rsidR="00173063" w:rsidRPr="008B0AD9" w:rsidRDefault="008B0AD9" w:rsidP="00173063">
      <w:pPr>
        <w:numPr>
          <w:ilvl w:val="0"/>
          <w:numId w:val="12"/>
        </w:numPr>
        <w:spacing w:before="100" w:beforeAutospacing="1" w:after="100" w:afterAutospacing="1" w:line="240" w:lineRule="auto"/>
        <w:rPr>
          <w:rFonts w:eastAsia="Times New Roman" w:cs="Times New Roman"/>
          <w:lang w:eastAsia="pl-PL"/>
        </w:rPr>
      </w:pPr>
      <w:r w:rsidRPr="008B0AD9">
        <w:rPr>
          <w:rFonts w:eastAsia="Times New Roman" w:cs="Times New Roman"/>
          <w:lang w:eastAsia="pl-PL"/>
        </w:rPr>
        <w:t>M</w:t>
      </w:r>
      <w:r w:rsidR="00173063" w:rsidRPr="00173063">
        <w:rPr>
          <w:rFonts w:eastAsia="Times New Roman" w:cs="Times New Roman"/>
          <w:lang w:eastAsia="pl-PL"/>
        </w:rPr>
        <w:t>ieszany</w:t>
      </w:r>
      <w:r w:rsidRPr="008B0AD9">
        <w:rPr>
          <w:rFonts w:eastAsia="Times New Roman" w:cs="Times New Roman"/>
          <w:lang w:eastAsia="pl-PL"/>
        </w:rPr>
        <w:t xml:space="preserve"> - </w:t>
      </w:r>
      <w:r w:rsidRPr="008B0AD9">
        <w:t xml:space="preserve">W systemie tym jest w użyciu zarówno </w:t>
      </w:r>
      <w:r w:rsidRPr="008B0AD9">
        <w:rPr>
          <w:b/>
          <w:bCs/>
        </w:rPr>
        <w:t xml:space="preserve">książka wpływu </w:t>
      </w:r>
      <w:r w:rsidRPr="008B0AD9">
        <w:t xml:space="preserve">oraz </w:t>
      </w:r>
      <w:hyperlink r:id="rId47" w:tooltip="Spis spraw (strona nie istnieje)" w:history="1">
        <w:r w:rsidRPr="008B0AD9">
          <w:rPr>
            <w:rStyle w:val="Hipercze"/>
            <w:color w:val="auto"/>
            <w:u w:val="none"/>
          </w:rPr>
          <w:t>spis spraw</w:t>
        </w:r>
      </w:hyperlink>
      <w:r w:rsidRPr="008B0AD9">
        <w:t xml:space="preserve"> i </w:t>
      </w:r>
      <w:hyperlink r:id="rId48" w:tooltip="Wykaz akt" w:history="1">
        <w:r w:rsidRPr="008B0AD9">
          <w:rPr>
            <w:rStyle w:val="Hipercze"/>
            <w:color w:val="auto"/>
            <w:u w:val="none"/>
          </w:rPr>
          <w:t>wykaz akt</w:t>
        </w:r>
      </w:hyperlink>
    </w:p>
    <w:p w:rsidR="008B0AD9" w:rsidRDefault="008B0AD9" w:rsidP="008B0AD9">
      <w:pPr>
        <w:spacing w:before="100" w:beforeAutospacing="1" w:after="100" w:afterAutospacing="1" w:line="240" w:lineRule="auto"/>
        <w:ind w:left="720"/>
        <w:rPr>
          <w:rFonts w:eastAsia="Times New Roman" w:cs="Times New Roman"/>
          <w:lang w:eastAsia="pl-PL"/>
        </w:rPr>
      </w:pPr>
      <w:r w:rsidRPr="008B0AD9">
        <w:rPr>
          <w:rFonts w:eastAsia="Times New Roman" w:cs="Times New Roman"/>
          <w:noProof/>
          <w:lang w:eastAsia="pl-PL"/>
        </w:rPr>
        <w:lastRenderedPageBreak/>
        <w:drawing>
          <wp:inline distT="0" distB="0" distL="0" distR="0">
            <wp:extent cx="4850662" cy="2094361"/>
            <wp:effectExtent l="19050" t="0" r="7088" b="0"/>
            <wp:docPr id="3" name="Obraz 2" descr="Książka_wpływ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siążka_wpływu.jpg"/>
                    <pic:cNvPicPr/>
                  </pic:nvPicPr>
                  <pic:blipFill>
                    <a:blip r:embed="rId49" cstate="print"/>
                    <a:stretch>
                      <a:fillRect/>
                    </a:stretch>
                  </pic:blipFill>
                  <pic:spPr>
                    <a:xfrm>
                      <a:off x="0" y="0"/>
                      <a:ext cx="4851265" cy="2094621"/>
                    </a:xfrm>
                    <a:prstGeom prst="rect">
                      <a:avLst/>
                    </a:prstGeom>
                  </pic:spPr>
                </pic:pic>
              </a:graphicData>
            </a:graphic>
          </wp:inline>
        </w:drawing>
      </w:r>
    </w:p>
    <w:p w:rsidR="003C2CC8" w:rsidRPr="00173063" w:rsidRDefault="003C2CC8" w:rsidP="008B0AD9">
      <w:pPr>
        <w:spacing w:before="100" w:beforeAutospacing="1" w:after="100" w:afterAutospacing="1" w:line="240" w:lineRule="auto"/>
        <w:ind w:left="720"/>
        <w:rPr>
          <w:rFonts w:eastAsia="Times New Roman" w:cs="Times New Roman"/>
          <w:lang w:eastAsia="pl-PL"/>
        </w:rPr>
      </w:pPr>
    </w:p>
    <w:p w:rsidR="003C2CC8" w:rsidRDefault="003C2CC8" w:rsidP="003C2CC8">
      <w:pPr>
        <w:pStyle w:val="Nagwek1"/>
        <w:numPr>
          <w:ilvl w:val="0"/>
          <w:numId w:val="3"/>
        </w:numPr>
      </w:pPr>
      <w:r>
        <w:rPr>
          <w:rStyle w:val="mw-headline"/>
        </w:rPr>
        <w:t>Inwentarz archiwalny</w:t>
      </w:r>
      <w:r>
        <w:t xml:space="preserve"> </w:t>
      </w:r>
    </w:p>
    <w:p w:rsidR="003C2CC8" w:rsidRPr="0074531D" w:rsidRDefault="003C2CC8" w:rsidP="003C2CC8">
      <w:pPr>
        <w:pStyle w:val="NormalnyWeb"/>
        <w:rPr>
          <w:rFonts w:asciiTheme="minorHAnsi" w:hAnsiTheme="minorHAnsi"/>
          <w:sz w:val="22"/>
          <w:szCs w:val="22"/>
        </w:rPr>
      </w:pPr>
      <w:r w:rsidRPr="0074531D">
        <w:rPr>
          <w:rFonts w:asciiTheme="minorHAnsi" w:hAnsiTheme="minorHAnsi"/>
          <w:sz w:val="22"/>
          <w:szCs w:val="22"/>
        </w:rPr>
        <w:t xml:space="preserve">Jedna z najważniejszych pomocy archiwalnych, sporządzana zawsze dla jednego </w:t>
      </w:r>
      <w:hyperlink r:id="rId50" w:tooltip="Zespół archiwalny" w:history="1">
        <w:r w:rsidRPr="0074531D">
          <w:rPr>
            <w:rStyle w:val="Hipercze"/>
            <w:rFonts w:asciiTheme="minorHAnsi" w:hAnsiTheme="minorHAnsi"/>
            <w:color w:val="auto"/>
            <w:sz w:val="22"/>
            <w:szCs w:val="22"/>
            <w:u w:val="none"/>
          </w:rPr>
          <w:t>zespołu</w:t>
        </w:r>
      </w:hyperlink>
      <w:r w:rsidRPr="0074531D">
        <w:rPr>
          <w:rFonts w:asciiTheme="minorHAnsi" w:hAnsiTheme="minorHAnsi"/>
          <w:sz w:val="22"/>
          <w:szCs w:val="22"/>
        </w:rPr>
        <w:t xml:space="preserve"> lub </w:t>
      </w:r>
      <w:hyperlink r:id="rId51" w:tooltip="Zbiór archiwalny" w:history="1">
        <w:r w:rsidRPr="0074531D">
          <w:rPr>
            <w:rStyle w:val="Hipercze"/>
            <w:rFonts w:asciiTheme="minorHAnsi" w:hAnsiTheme="minorHAnsi"/>
            <w:color w:val="auto"/>
            <w:sz w:val="22"/>
            <w:szCs w:val="22"/>
            <w:u w:val="none"/>
          </w:rPr>
          <w:t>zbioru archiwalnego</w:t>
        </w:r>
      </w:hyperlink>
      <w:r w:rsidRPr="0074531D">
        <w:rPr>
          <w:rFonts w:asciiTheme="minorHAnsi" w:hAnsiTheme="minorHAnsi"/>
          <w:sz w:val="22"/>
          <w:szCs w:val="22"/>
        </w:rPr>
        <w:t>, odzwierciedla układ materiałów w całym zespole (zbiorze) ułatwiając szybkie dotarcie do interesującej nas jednostki. Ze względu na formę zewnętrzną dzielimy inwentarze na kartkowy i książkowy.</w:t>
      </w:r>
    </w:p>
    <w:p w:rsidR="003C2CC8" w:rsidRPr="0074531D" w:rsidRDefault="003C2CC8" w:rsidP="003C2CC8">
      <w:pPr>
        <w:numPr>
          <w:ilvl w:val="0"/>
          <w:numId w:val="14"/>
        </w:numPr>
        <w:spacing w:before="100" w:beforeAutospacing="1" w:after="100" w:afterAutospacing="1" w:line="240" w:lineRule="auto"/>
      </w:pPr>
      <w:r w:rsidRPr="0074531D">
        <w:rPr>
          <w:b/>
          <w:bCs/>
        </w:rPr>
        <w:t>Inwentarz kartkowy</w:t>
      </w:r>
      <w:r w:rsidRPr="0074531D">
        <w:t xml:space="preserve"> składa się z uporządkowanych kart inwentarzowych, gdzie każda karta odpowiada jednej </w:t>
      </w:r>
      <w:hyperlink r:id="rId52" w:tooltip="Jednostka inwentarzowa (archiwistyka)" w:history="1">
        <w:r w:rsidRPr="0074531D">
          <w:rPr>
            <w:rStyle w:val="Hipercze"/>
            <w:color w:val="auto"/>
            <w:u w:val="none"/>
          </w:rPr>
          <w:t>jednostce inwentarzowej</w:t>
        </w:r>
      </w:hyperlink>
      <w:r w:rsidRPr="0074531D">
        <w:t>.</w:t>
      </w:r>
    </w:p>
    <w:p w:rsidR="003C2CC8" w:rsidRPr="0074531D" w:rsidRDefault="003C2CC8" w:rsidP="003C2CC8">
      <w:pPr>
        <w:numPr>
          <w:ilvl w:val="0"/>
          <w:numId w:val="14"/>
        </w:numPr>
        <w:spacing w:before="100" w:beforeAutospacing="1" w:after="100" w:afterAutospacing="1" w:line="240" w:lineRule="auto"/>
      </w:pPr>
      <w:r w:rsidRPr="0074531D">
        <w:rPr>
          <w:b/>
          <w:bCs/>
        </w:rPr>
        <w:t>Inwentarz książkowy</w:t>
      </w:r>
      <w:r w:rsidRPr="0074531D">
        <w:t xml:space="preserve"> poprzedzony jest wstępem, w którym zamieszcza się: dzieje ustrojowe twórcy zespołu archiwalnego, dzieje zespołu, jego charakterystykę archiwalną (np. granice chronologiczne, terytorialne, stan zachowania itp.), zawartość zespołu i analizę metod opracowania całości. Część właściwa inwentarza książkowego składa się z opisów uporządkowanych według zasad i metod przyjętych w archiwistyce </w:t>
      </w:r>
      <w:hyperlink r:id="rId53" w:tooltip="Jednostka archiwalna" w:history="1">
        <w:r w:rsidRPr="0074531D">
          <w:rPr>
            <w:rStyle w:val="Hipercze"/>
            <w:color w:val="auto"/>
            <w:u w:val="none"/>
          </w:rPr>
          <w:t>jednostek archiwalnych</w:t>
        </w:r>
      </w:hyperlink>
      <w:r w:rsidRPr="0074531D">
        <w:t xml:space="preserve">. W skład opisu jednostki w inwentarzu książkowym wchodzą: </w:t>
      </w:r>
      <w:hyperlink r:id="rId54" w:tooltip="Sygnatura" w:history="1">
        <w:r w:rsidRPr="0074531D">
          <w:rPr>
            <w:rStyle w:val="Hipercze"/>
            <w:color w:val="auto"/>
            <w:u w:val="none"/>
          </w:rPr>
          <w:t>sygnatura</w:t>
        </w:r>
      </w:hyperlink>
      <w:r w:rsidRPr="0074531D">
        <w:t xml:space="preserve">, </w:t>
      </w:r>
      <w:hyperlink r:id="rId55" w:tooltip="Tytuł" w:history="1">
        <w:r w:rsidRPr="0074531D">
          <w:rPr>
            <w:rStyle w:val="Hipercze"/>
            <w:color w:val="auto"/>
            <w:u w:val="none"/>
          </w:rPr>
          <w:t>tytuł</w:t>
        </w:r>
      </w:hyperlink>
      <w:r w:rsidRPr="0074531D">
        <w:t xml:space="preserve"> oraz daty skrajne. Inwentarz książkowy przyjmuje często formę publikowaną.</w:t>
      </w:r>
    </w:p>
    <w:p w:rsidR="003C2CC8" w:rsidRPr="00711CF8" w:rsidRDefault="003C2CC8" w:rsidP="003C2CC8">
      <w:pPr>
        <w:pStyle w:val="NormalnyWeb"/>
        <w:rPr>
          <w:rFonts w:asciiTheme="minorHAnsi" w:hAnsiTheme="minorHAnsi"/>
          <w:sz w:val="22"/>
          <w:szCs w:val="22"/>
        </w:rPr>
      </w:pPr>
      <w:r w:rsidRPr="00711CF8">
        <w:rPr>
          <w:rFonts w:asciiTheme="minorHAnsi" w:hAnsiTheme="minorHAnsi"/>
          <w:sz w:val="22"/>
          <w:szCs w:val="22"/>
        </w:rPr>
        <w:t>Wyróżnia się również:</w:t>
      </w:r>
    </w:p>
    <w:p w:rsidR="003C2CC8" w:rsidRPr="00711CF8" w:rsidRDefault="003C2CC8" w:rsidP="003C2CC8">
      <w:pPr>
        <w:numPr>
          <w:ilvl w:val="0"/>
          <w:numId w:val="15"/>
        </w:numPr>
        <w:spacing w:before="100" w:beforeAutospacing="1" w:after="100" w:afterAutospacing="1" w:line="240" w:lineRule="auto"/>
      </w:pPr>
      <w:r w:rsidRPr="00711CF8">
        <w:rPr>
          <w:b/>
          <w:bCs/>
        </w:rPr>
        <w:t>inwentarz idealny</w:t>
      </w:r>
      <w:r w:rsidRPr="00711CF8">
        <w:t>, który uwzględnia całość materiałów zespołu, nawet jeżeli jego część uległa zniszczeniu, lub zaginęła. Scala on zespół (zbiór) pod względem informacyjnym;</w:t>
      </w:r>
    </w:p>
    <w:p w:rsidR="003C2CC8" w:rsidRPr="00711CF8" w:rsidRDefault="003C2CC8" w:rsidP="003C2CC8">
      <w:pPr>
        <w:numPr>
          <w:ilvl w:val="0"/>
          <w:numId w:val="15"/>
        </w:numPr>
        <w:spacing w:before="100" w:beforeAutospacing="1" w:after="100" w:afterAutospacing="1" w:line="240" w:lineRule="auto"/>
      </w:pPr>
      <w:r w:rsidRPr="00711CF8">
        <w:rPr>
          <w:b/>
          <w:bCs/>
        </w:rPr>
        <w:t>inwentarz realny</w:t>
      </w:r>
      <w:r w:rsidRPr="00711CF8">
        <w:t xml:space="preserve"> odnoszący się tylko do materiałów zachowanych w danym zespole (zbiorze);</w:t>
      </w:r>
    </w:p>
    <w:p w:rsidR="003C2CC8" w:rsidRPr="00711CF8" w:rsidRDefault="003C2CC8" w:rsidP="003C2CC8">
      <w:pPr>
        <w:numPr>
          <w:ilvl w:val="0"/>
          <w:numId w:val="15"/>
        </w:numPr>
        <w:spacing w:before="100" w:beforeAutospacing="1" w:after="100" w:afterAutospacing="1" w:line="240" w:lineRule="auto"/>
      </w:pPr>
      <w:r w:rsidRPr="00711CF8">
        <w:rPr>
          <w:b/>
          <w:bCs/>
        </w:rPr>
        <w:t>inwentarz topograficzny</w:t>
      </w:r>
      <w:r w:rsidRPr="00711CF8">
        <w:t xml:space="preserve"> (</w:t>
      </w:r>
      <w:proofErr w:type="spellStart"/>
      <w:r w:rsidRPr="00711CF8">
        <w:t>rozstawniczy</w:t>
      </w:r>
      <w:proofErr w:type="spellEnd"/>
      <w:r w:rsidRPr="00711CF8">
        <w:t>) wskazuje dokładne miejsce przechowywania określonych materiałów archiwalnych w magazynach archiwalnych.</w:t>
      </w:r>
    </w:p>
    <w:p w:rsidR="008409D7" w:rsidRPr="008409D7" w:rsidRDefault="008409D7" w:rsidP="00711CF8">
      <w:pPr>
        <w:pStyle w:val="Nagwek1"/>
        <w:numPr>
          <w:ilvl w:val="0"/>
          <w:numId w:val="3"/>
        </w:numPr>
        <w:rPr>
          <w:rFonts w:asciiTheme="minorHAnsi" w:hAnsiTheme="minorHAnsi"/>
          <w:b w:val="0"/>
          <w:color w:val="auto"/>
          <w:sz w:val="22"/>
          <w:szCs w:val="22"/>
        </w:rPr>
      </w:pPr>
      <w:r w:rsidRPr="008409D7">
        <w:rPr>
          <w:rFonts w:ascii="Cambria" w:eastAsia="Times New Roman" w:hAnsi="Cambria" w:cs="Times New Roman"/>
          <w:color w:val="365F91"/>
        </w:rPr>
        <w:lastRenderedPageBreak/>
        <w:t>sygnatura archiwalna</w:t>
      </w:r>
      <w:r>
        <w:rPr>
          <w:rFonts w:ascii="Cambria" w:eastAsia="Times New Roman" w:hAnsi="Cambria" w:cs="Times New Roman"/>
          <w:color w:val="365F91"/>
        </w:rPr>
        <w:t xml:space="preserve"> - </w:t>
      </w:r>
      <w:r w:rsidRPr="008409D7">
        <w:rPr>
          <w:rFonts w:ascii="Calibri" w:eastAsia="Times New Roman" w:hAnsi="Calibri" w:cs="Times New Roman"/>
          <w:b w:val="0"/>
          <w:color w:val="auto"/>
          <w:sz w:val="22"/>
          <w:szCs w:val="22"/>
        </w:rPr>
        <w:t>1.znak rozpoznawczy nadany jednostce archiwalnej lub jednostce inwentarzowej, określający jej miejsce w obrębie zespołu i umożliwiający jej zidentyfikowanie; 2.zespół znaków wskazujących na aktualne miejsce przechowywania jednostki archiwalnej lub jednostki inwentarzowej</w:t>
      </w:r>
    </w:p>
    <w:p w:rsidR="00F353FD" w:rsidRPr="00711CF8" w:rsidRDefault="00F353FD" w:rsidP="00711CF8">
      <w:pPr>
        <w:pStyle w:val="Nagwek1"/>
        <w:numPr>
          <w:ilvl w:val="0"/>
          <w:numId w:val="3"/>
        </w:numPr>
      </w:pPr>
      <w:r w:rsidRPr="00711CF8">
        <w:t xml:space="preserve">Inwentarz kartkowy </w:t>
      </w:r>
      <w:r w:rsidRPr="00711CF8">
        <w:rPr>
          <w:color w:val="auto"/>
        </w:rPr>
        <w:t>-</w:t>
      </w:r>
      <w:r w:rsidRPr="00711CF8">
        <w:t xml:space="preserve">  </w:t>
      </w:r>
    </w:p>
    <w:p w:rsidR="00F353FD" w:rsidRPr="00711CF8" w:rsidRDefault="00F353FD" w:rsidP="00711CF8">
      <w:pPr>
        <w:pStyle w:val="Akapitzlist"/>
        <w:numPr>
          <w:ilvl w:val="0"/>
          <w:numId w:val="16"/>
        </w:numPr>
        <w:rPr>
          <w:rStyle w:val="Nagwek1Znak"/>
          <w:rFonts w:asciiTheme="minorHAnsi" w:hAnsiTheme="minorHAnsi"/>
          <w:b w:val="0"/>
          <w:color w:val="auto"/>
          <w:sz w:val="22"/>
          <w:szCs w:val="22"/>
        </w:rPr>
      </w:pPr>
      <w:r w:rsidRPr="00711CF8">
        <w:rPr>
          <w:rStyle w:val="Nagwek1Znak"/>
          <w:rFonts w:asciiTheme="minorHAnsi" w:hAnsiTheme="minorHAnsi"/>
          <w:b w:val="0"/>
          <w:color w:val="auto"/>
          <w:sz w:val="22"/>
          <w:szCs w:val="22"/>
        </w:rPr>
        <w:t>Rubryka 1 skrót nazwy archiwum</w:t>
      </w:r>
    </w:p>
    <w:p w:rsidR="00F353FD" w:rsidRPr="00711CF8" w:rsidRDefault="00F353FD" w:rsidP="00711CF8">
      <w:pPr>
        <w:pStyle w:val="Akapitzlist"/>
        <w:numPr>
          <w:ilvl w:val="0"/>
          <w:numId w:val="16"/>
        </w:numPr>
        <w:rPr>
          <w:rStyle w:val="Nagwek1Znak"/>
          <w:rFonts w:asciiTheme="minorHAnsi" w:hAnsiTheme="minorHAnsi"/>
          <w:b w:val="0"/>
          <w:color w:val="auto"/>
          <w:sz w:val="22"/>
          <w:szCs w:val="22"/>
        </w:rPr>
      </w:pPr>
      <w:r w:rsidRPr="00711CF8">
        <w:rPr>
          <w:rStyle w:val="Nagwek1Znak"/>
          <w:rFonts w:asciiTheme="minorHAnsi" w:hAnsiTheme="minorHAnsi"/>
          <w:b w:val="0"/>
          <w:color w:val="auto"/>
          <w:sz w:val="22"/>
          <w:szCs w:val="22"/>
        </w:rPr>
        <w:t>Rubryka 2 obejmuje nazwę zespołu akt, która stanowi nazwa zakładu pracy albo nazwa umowna</w:t>
      </w:r>
    </w:p>
    <w:p w:rsidR="00F353FD" w:rsidRPr="00711CF8" w:rsidRDefault="00F353FD" w:rsidP="00711CF8">
      <w:pPr>
        <w:pStyle w:val="Akapitzlist"/>
        <w:numPr>
          <w:ilvl w:val="0"/>
          <w:numId w:val="16"/>
        </w:numPr>
        <w:rPr>
          <w:rStyle w:val="Nagwek1Znak"/>
          <w:rFonts w:asciiTheme="minorHAnsi" w:hAnsiTheme="minorHAnsi"/>
          <w:b w:val="0"/>
          <w:color w:val="auto"/>
          <w:sz w:val="22"/>
          <w:szCs w:val="22"/>
        </w:rPr>
      </w:pPr>
      <w:r w:rsidRPr="00711CF8">
        <w:rPr>
          <w:rStyle w:val="Nagwek1Znak"/>
          <w:rFonts w:asciiTheme="minorHAnsi" w:hAnsiTheme="minorHAnsi"/>
          <w:b w:val="0"/>
          <w:color w:val="auto"/>
          <w:sz w:val="22"/>
          <w:szCs w:val="22"/>
        </w:rPr>
        <w:t>Rubryka 3 przewidziana jest dla sygnatury archiwalnej</w:t>
      </w:r>
    </w:p>
    <w:p w:rsidR="00F353FD" w:rsidRPr="00711CF8" w:rsidRDefault="00F353FD" w:rsidP="00711CF8">
      <w:pPr>
        <w:pStyle w:val="Akapitzlist"/>
        <w:numPr>
          <w:ilvl w:val="0"/>
          <w:numId w:val="16"/>
        </w:numPr>
        <w:rPr>
          <w:rStyle w:val="Nagwek1Znak"/>
          <w:rFonts w:asciiTheme="minorHAnsi" w:hAnsiTheme="minorHAnsi"/>
          <w:b w:val="0"/>
          <w:color w:val="auto"/>
          <w:sz w:val="22"/>
          <w:szCs w:val="22"/>
        </w:rPr>
      </w:pPr>
      <w:r w:rsidRPr="00711CF8">
        <w:rPr>
          <w:rStyle w:val="Nagwek1Znak"/>
          <w:rFonts w:asciiTheme="minorHAnsi" w:hAnsiTheme="minorHAnsi"/>
          <w:b w:val="0"/>
          <w:color w:val="auto"/>
          <w:sz w:val="22"/>
          <w:szCs w:val="22"/>
        </w:rPr>
        <w:t>Rubryka 4 umieszcza się tytuł z okładki w formie oryginalnej</w:t>
      </w:r>
    </w:p>
    <w:p w:rsidR="00F353FD" w:rsidRPr="00711CF8" w:rsidRDefault="00F353FD" w:rsidP="00711CF8">
      <w:pPr>
        <w:pStyle w:val="Akapitzlist"/>
        <w:numPr>
          <w:ilvl w:val="0"/>
          <w:numId w:val="16"/>
        </w:numPr>
        <w:rPr>
          <w:rStyle w:val="Nagwek1Znak"/>
          <w:rFonts w:asciiTheme="minorHAnsi" w:hAnsiTheme="minorHAnsi"/>
          <w:b w:val="0"/>
          <w:color w:val="auto"/>
          <w:sz w:val="22"/>
          <w:szCs w:val="22"/>
        </w:rPr>
      </w:pPr>
      <w:r w:rsidRPr="00711CF8">
        <w:rPr>
          <w:rStyle w:val="Nagwek1Znak"/>
          <w:rFonts w:asciiTheme="minorHAnsi" w:hAnsiTheme="minorHAnsi"/>
          <w:b w:val="0"/>
          <w:color w:val="auto"/>
          <w:sz w:val="22"/>
          <w:szCs w:val="22"/>
        </w:rPr>
        <w:t>Rubryka 5 poświęcona jest wpisaniu dat skrajnych danej jednostki archiwalnej</w:t>
      </w:r>
    </w:p>
    <w:p w:rsidR="00F353FD" w:rsidRPr="00711CF8" w:rsidRDefault="00F353FD" w:rsidP="00711CF8">
      <w:pPr>
        <w:pStyle w:val="Akapitzlist"/>
        <w:numPr>
          <w:ilvl w:val="0"/>
          <w:numId w:val="16"/>
        </w:numPr>
        <w:rPr>
          <w:rStyle w:val="Nagwek1Znak"/>
          <w:rFonts w:asciiTheme="minorHAnsi" w:hAnsiTheme="minorHAnsi"/>
          <w:b w:val="0"/>
          <w:color w:val="auto"/>
          <w:sz w:val="22"/>
          <w:szCs w:val="22"/>
        </w:rPr>
      </w:pPr>
      <w:r w:rsidRPr="00711CF8">
        <w:rPr>
          <w:rStyle w:val="Nagwek1Znak"/>
          <w:rFonts w:asciiTheme="minorHAnsi" w:hAnsiTheme="minorHAnsi"/>
          <w:b w:val="0"/>
          <w:color w:val="auto"/>
          <w:sz w:val="22"/>
          <w:szCs w:val="22"/>
        </w:rPr>
        <w:t>Rubryka 6 przeznaczona jest na opis zewnętrzny (fizyczny)</w:t>
      </w:r>
    </w:p>
    <w:p w:rsidR="00F353FD" w:rsidRPr="00711CF8" w:rsidRDefault="00F353FD" w:rsidP="00711CF8">
      <w:pPr>
        <w:pStyle w:val="Akapitzlist"/>
        <w:numPr>
          <w:ilvl w:val="0"/>
          <w:numId w:val="16"/>
        </w:numPr>
        <w:rPr>
          <w:rStyle w:val="Nagwek1Znak"/>
          <w:rFonts w:asciiTheme="minorHAnsi" w:hAnsiTheme="minorHAnsi"/>
          <w:b w:val="0"/>
          <w:color w:val="auto"/>
          <w:sz w:val="22"/>
          <w:szCs w:val="22"/>
        </w:rPr>
      </w:pPr>
      <w:r w:rsidRPr="00711CF8">
        <w:rPr>
          <w:rStyle w:val="Nagwek1Znak"/>
          <w:rFonts w:asciiTheme="minorHAnsi" w:hAnsiTheme="minorHAnsi"/>
          <w:b w:val="0"/>
          <w:color w:val="auto"/>
          <w:sz w:val="22"/>
          <w:szCs w:val="22"/>
        </w:rPr>
        <w:t>Rubryka 7 przewidziana jest na zaznaczenie dawnych sygnatur kancelaryjnych i archiwalnych</w:t>
      </w:r>
    </w:p>
    <w:p w:rsidR="00F353FD" w:rsidRPr="00711CF8" w:rsidRDefault="00F353FD" w:rsidP="00711CF8">
      <w:pPr>
        <w:pStyle w:val="Akapitzlist"/>
        <w:numPr>
          <w:ilvl w:val="0"/>
          <w:numId w:val="16"/>
        </w:numPr>
        <w:rPr>
          <w:rStyle w:val="Nagwek1Znak"/>
          <w:rFonts w:asciiTheme="minorHAnsi" w:hAnsiTheme="minorHAnsi"/>
          <w:b w:val="0"/>
          <w:color w:val="auto"/>
          <w:sz w:val="22"/>
          <w:szCs w:val="22"/>
        </w:rPr>
      </w:pPr>
      <w:r w:rsidRPr="00711CF8">
        <w:rPr>
          <w:rStyle w:val="Nagwek1Znak"/>
          <w:rFonts w:asciiTheme="minorHAnsi" w:hAnsiTheme="minorHAnsi"/>
          <w:b w:val="0"/>
          <w:color w:val="auto"/>
          <w:sz w:val="22"/>
          <w:szCs w:val="22"/>
        </w:rPr>
        <w:t>Rubryka 8 podaje się informacje Dodatkowe</w:t>
      </w:r>
    </w:p>
    <w:p w:rsidR="00F353FD" w:rsidRPr="00711CF8" w:rsidRDefault="00F353FD" w:rsidP="00711CF8">
      <w:pPr>
        <w:pStyle w:val="Akapitzlist"/>
        <w:numPr>
          <w:ilvl w:val="0"/>
          <w:numId w:val="16"/>
        </w:numPr>
        <w:rPr>
          <w:rStyle w:val="Nagwek1Znak"/>
          <w:rFonts w:asciiTheme="minorHAnsi" w:eastAsiaTheme="minorHAnsi" w:hAnsiTheme="minorHAnsi" w:cstheme="minorBidi"/>
          <w:bCs w:val="0"/>
          <w:color w:val="auto"/>
          <w:sz w:val="22"/>
          <w:szCs w:val="22"/>
        </w:rPr>
      </w:pPr>
      <w:r w:rsidRPr="00711CF8">
        <w:rPr>
          <w:rStyle w:val="Nagwek1Znak"/>
          <w:rFonts w:asciiTheme="minorHAnsi" w:hAnsiTheme="minorHAnsi"/>
          <w:b w:val="0"/>
          <w:color w:val="auto"/>
          <w:sz w:val="22"/>
          <w:szCs w:val="22"/>
        </w:rPr>
        <w:t xml:space="preserve">Rubryka 9 </w:t>
      </w:r>
      <w:r w:rsidR="00711CF8" w:rsidRPr="00711CF8">
        <w:rPr>
          <w:rStyle w:val="Nagwek1Znak"/>
          <w:rFonts w:asciiTheme="minorHAnsi" w:hAnsiTheme="minorHAnsi"/>
          <w:b w:val="0"/>
          <w:color w:val="auto"/>
          <w:sz w:val="22"/>
          <w:szCs w:val="22"/>
        </w:rPr>
        <w:t>obecnie wpisuje się słowa kluczowe, hasła określające treść jednostki archiwalnej</w:t>
      </w:r>
    </w:p>
    <w:p w:rsidR="00711CF8" w:rsidRDefault="00711CF8" w:rsidP="00711CF8">
      <w:pPr>
        <w:pStyle w:val="Akapitzlist"/>
        <w:rPr>
          <w:rStyle w:val="Nagwek1Znak"/>
          <w:b w:val="0"/>
          <w:color w:val="auto"/>
          <w:sz w:val="22"/>
          <w:szCs w:val="22"/>
        </w:rPr>
      </w:pPr>
    </w:p>
    <w:p w:rsidR="00711CF8" w:rsidRDefault="00711CF8" w:rsidP="00711CF8">
      <w:pPr>
        <w:pStyle w:val="Nagwek1"/>
      </w:pPr>
      <w:r w:rsidRPr="00711CF8">
        <w:t>Inwentarz książkowy</w:t>
      </w:r>
      <w:r>
        <w:t>:</w:t>
      </w:r>
    </w:p>
    <w:p w:rsidR="00711CF8" w:rsidRDefault="00711CF8" w:rsidP="00711CF8">
      <w:pPr>
        <w:pStyle w:val="Akapitzlist"/>
        <w:numPr>
          <w:ilvl w:val="0"/>
          <w:numId w:val="17"/>
        </w:numPr>
      </w:pPr>
      <w:r>
        <w:t>Rubryka 1 podaje sygnaturę jednostki archiwalnej</w:t>
      </w:r>
    </w:p>
    <w:p w:rsidR="00711CF8" w:rsidRDefault="00711CF8" w:rsidP="00711CF8">
      <w:pPr>
        <w:pStyle w:val="Akapitzlist"/>
        <w:numPr>
          <w:ilvl w:val="0"/>
          <w:numId w:val="17"/>
        </w:numPr>
      </w:pPr>
      <w:r>
        <w:t xml:space="preserve">Rubryka 2 umieszcza się tytuł lub treść tejże jednostki. Tytuł musi być podany w wersji oryginalnej </w:t>
      </w:r>
    </w:p>
    <w:p w:rsidR="00711CF8" w:rsidRDefault="00711CF8" w:rsidP="00711CF8">
      <w:pPr>
        <w:pStyle w:val="Akapitzlist"/>
        <w:numPr>
          <w:ilvl w:val="0"/>
          <w:numId w:val="17"/>
        </w:numPr>
      </w:pPr>
      <w:r>
        <w:t>Rubryka 3 przeznaczona jest na podanie okresu obejmowanego przez daną jednostkę archiwalną</w:t>
      </w:r>
    </w:p>
    <w:p w:rsidR="00711CF8" w:rsidRDefault="00711CF8" w:rsidP="00711CF8">
      <w:pPr>
        <w:pStyle w:val="Akapitzlist"/>
        <w:numPr>
          <w:ilvl w:val="0"/>
          <w:numId w:val="17"/>
        </w:numPr>
      </w:pPr>
      <w:r>
        <w:t>Rubryka 4 charakteryzuje stan zewnętrzny(fizyczny)</w:t>
      </w:r>
    </w:p>
    <w:p w:rsidR="00711CF8" w:rsidRDefault="00711CF8" w:rsidP="00711CF8">
      <w:pPr>
        <w:pStyle w:val="Akapitzlist"/>
        <w:numPr>
          <w:ilvl w:val="0"/>
          <w:numId w:val="17"/>
        </w:numPr>
      </w:pPr>
      <w:r>
        <w:t>Rubryka 5 poświęcona jest dawnym sygnaturom</w:t>
      </w:r>
    </w:p>
    <w:p w:rsidR="00711CF8" w:rsidRDefault="00711CF8" w:rsidP="00711CF8">
      <w:pPr>
        <w:pStyle w:val="Akapitzlist"/>
        <w:numPr>
          <w:ilvl w:val="0"/>
          <w:numId w:val="17"/>
        </w:numPr>
      </w:pPr>
      <w:r>
        <w:t>Rubryka 6 uwagi</w:t>
      </w:r>
    </w:p>
    <w:p w:rsidR="00711CF8" w:rsidRDefault="00711CF8" w:rsidP="00711CF8">
      <w:pPr>
        <w:pStyle w:val="Akapitzlist"/>
      </w:pPr>
    </w:p>
    <w:p w:rsidR="00711CF8" w:rsidRDefault="00711CF8" w:rsidP="00711CF8">
      <w:pPr>
        <w:pStyle w:val="Akapitzlist"/>
        <w:numPr>
          <w:ilvl w:val="0"/>
          <w:numId w:val="3"/>
        </w:numPr>
      </w:pPr>
      <w:r w:rsidRPr="00711CF8">
        <w:rPr>
          <w:rStyle w:val="Nagwek1Znak"/>
        </w:rPr>
        <w:t>Sukcesja archiwalna</w:t>
      </w:r>
      <w:r>
        <w:t xml:space="preserve"> - nazywana też dziedziczeniem; oznacza przejmowanie materiałów archiwalnych w następstwie przejęcia całości lub części kompetencji merytorycznych (bądź terytorialnych) przez inną jednostkę organizacyjną.</w:t>
      </w:r>
    </w:p>
    <w:p w:rsidR="00711CF8" w:rsidRPr="00711CF8" w:rsidRDefault="00711CF8" w:rsidP="00711CF8">
      <w:pPr>
        <w:pStyle w:val="NormalnyWeb"/>
        <w:numPr>
          <w:ilvl w:val="0"/>
          <w:numId w:val="18"/>
        </w:numPr>
        <w:rPr>
          <w:rFonts w:asciiTheme="minorHAnsi" w:hAnsiTheme="minorHAnsi"/>
          <w:sz w:val="22"/>
          <w:szCs w:val="22"/>
        </w:rPr>
      </w:pPr>
      <w:r w:rsidRPr="00711CF8">
        <w:rPr>
          <w:rFonts w:asciiTheme="minorHAnsi" w:hAnsiTheme="minorHAnsi"/>
          <w:b/>
          <w:bCs/>
          <w:sz w:val="22"/>
          <w:szCs w:val="22"/>
        </w:rPr>
        <w:t>Sukcesja czynna</w:t>
      </w:r>
      <w:r w:rsidRPr="00711CF8">
        <w:rPr>
          <w:rFonts w:asciiTheme="minorHAnsi" w:hAnsiTheme="minorHAnsi"/>
          <w:sz w:val="22"/>
          <w:szCs w:val="22"/>
        </w:rPr>
        <w:t xml:space="preserve"> - akta rozpoczęte przez </w:t>
      </w:r>
      <w:proofErr w:type="spellStart"/>
      <w:r w:rsidRPr="00711CF8">
        <w:rPr>
          <w:rFonts w:asciiTheme="minorHAnsi" w:hAnsiTheme="minorHAnsi"/>
          <w:sz w:val="22"/>
          <w:szCs w:val="22"/>
        </w:rPr>
        <w:t>sukcesodawcę</w:t>
      </w:r>
      <w:proofErr w:type="spellEnd"/>
      <w:r w:rsidRPr="00711CF8">
        <w:rPr>
          <w:rFonts w:asciiTheme="minorHAnsi" w:hAnsiTheme="minorHAnsi"/>
          <w:sz w:val="22"/>
          <w:szCs w:val="22"/>
        </w:rPr>
        <w:t xml:space="preserve"> są kontynuowane przez </w:t>
      </w:r>
      <w:proofErr w:type="spellStart"/>
      <w:r w:rsidRPr="00711CF8">
        <w:rPr>
          <w:rFonts w:asciiTheme="minorHAnsi" w:hAnsiTheme="minorHAnsi"/>
          <w:sz w:val="22"/>
          <w:szCs w:val="22"/>
        </w:rPr>
        <w:t>sukcesobiorcę</w:t>
      </w:r>
      <w:proofErr w:type="spellEnd"/>
      <w:r w:rsidRPr="00711CF8">
        <w:rPr>
          <w:rFonts w:asciiTheme="minorHAnsi" w:hAnsiTheme="minorHAnsi"/>
          <w:sz w:val="22"/>
          <w:szCs w:val="22"/>
        </w:rPr>
        <w:t xml:space="preserve">, który włączył je fizycznie (kontynuowanie prowadzenia poszczególnych teczek, </w:t>
      </w:r>
      <w:proofErr w:type="spellStart"/>
      <w:r w:rsidRPr="00711CF8">
        <w:rPr>
          <w:rFonts w:asciiTheme="minorHAnsi" w:hAnsiTheme="minorHAnsi"/>
          <w:sz w:val="22"/>
          <w:szCs w:val="22"/>
        </w:rPr>
        <w:t>poszytów</w:t>
      </w:r>
      <w:proofErr w:type="spellEnd"/>
      <w:r w:rsidRPr="00711CF8">
        <w:rPr>
          <w:rFonts w:asciiTheme="minorHAnsi" w:hAnsiTheme="minorHAnsi"/>
          <w:sz w:val="22"/>
          <w:szCs w:val="22"/>
        </w:rPr>
        <w:t xml:space="preserve">, ksiąg itp.) lub ewidencyjnie do własnej </w:t>
      </w:r>
      <w:hyperlink r:id="rId56" w:tooltip="Registratura" w:history="1">
        <w:r w:rsidRPr="00711CF8">
          <w:rPr>
            <w:rStyle w:val="Hipercze"/>
            <w:rFonts w:asciiTheme="minorHAnsi" w:eastAsiaTheme="majorEastAsia" w:hAnsiTheme="minorHAnsi"/>
            <w:color w:val="auto"/>
            <w:sz w:val="22"/>
            <w:szCs w:val="22"/>
            <w:u w:val="none"/>
          </w:rPr>
          <w:t>registratury</w:t>
        </w:r>
      </w:hyperlink>
      <w:r w:rsidRPr="00711CF8">
        <w:rPr>
          <w:rFonts w:asciiTheme="minorHAnsi" w:hAnsiTheme="minorHAnsi"/>
          <w:sz w:val="22"/>
          <w:szCs w:val="22"/>
        </w:rPr>
        <w:t>.</w:t>
      </w:r>
    </w:p>
    <w:p w:rsidR="00711CF8" w:rsidRPr="00711CF8" w:rsidRDefault="00711CF8" w:rsidP="00711CF8">
      <w:pPr>
        <w:pStyle w:val="NormalnyWeb"/>
        <w:numPr>
          <w:ilvl w:val="0"/>
          <w:numId w:val="18"/>
        </w:numPr>
        <w:rPr>
          <w:rFonts w:asciiTheme="minorHAnsi" w:hAnsiTheme="minorHAnsi"/>
          <w:sz w:val="22"/>
          <w:szCs w:val="22"/>
        </w:rPr>
      </w:pPr>
      <w:r w:rsidRPr="00711CF8">
        <w:rPr>
          <w:rFonts w:asciiTheme="minorHAnsi" w:hAnsiTheme="minorHAnsi"/>
          <w:b/>
          <w:bCs/>
          <w:sz w:val="22"/>
          <w:szCs w:val="22"/>
        </w:rPr>
        <w:t>Sukcesja bierna</w:t>
      </w:r>
      <w:r w:rsidRPr="00711CF8">
        <w:rPr>
          <w:rFonts w:asciiTheme="minorHAnsi" w:hAnsiTheme="minorHAnsi"/>
          <w:sz w:val="22"/>
          <w:szCs w:val="22"/>
        </w:rPr>
        <w:t xml:space="preserve"> - przejęcie dokumentacji i jej przechowywanie, bez podjęcia jej kontynuacji.</w:t>
      </w:r>
    </w:p>
    <w:p w:rsidR="00711CF8" w:rsidRPr="00711CF8" w:rsidRDefault="00711CF8" w:rsidP="00711CF8">
      <w:pPr>
        <w:pStyle w:val="NormalnyWeb"/>
        <w:numPr>
          <w:ilvl w:val="0"/>
          <w:numId w:val="3"/>
        </w:numPr>
        <w:rPr>
          <w:rFonts w:asciiTheme="minorHAnsi" w:hAnsiTheme="minorHAnsi"/>
          <w:sz w:val="22"/>
          <w:szCs w:val="22"/>
        </w:rPr>
      </w:pPr>
      <w:r w:rsidRPr="00711CF8">
        <w:rPr>
          <w:rStyle w:val="Nagwek1Znak"/>
        </w:rPr>
        <w:t>Archiwistyka</w:t>
      </w:r>
      <w:r w:rsidRPr="00711CF8">
        <w:rPr>
          <w:rFonts w:asciiTheme="minorHAnsi" w:hAnsiTheme="minorHAnsi"/>
          <w:sz w:val="22"/>
          <w:szCs w:val="22"/>
        </w:rPr>
        <w:t xml:space="preserve"> dzieli się na teorię archiwalną, metodykę archiwalną i archiwoznawstwo:</w:t>
      </w:r>
    </w:p>
    <w:p w:rsidR="00711CF8" w:rsidRDefault="00711CF8" w:rsidP="00711CF8">
      <w:pPr>
        <w:numPr>
          <w:ilvl w:val="0"/>
          <w:numId w:val="19"/>
        </w:numPr>
        <w:spacing w:before="100" w:beforeAutospacing="1" w:after="100" w:afterAutospacing="1" w:line="240" w:lineRule="auto"/>
      </w:pPr>
      <w:r>
        <w:rPr>
          <w:b/>
          <w:bCs/>
        </w:rPr>
        <w:t>teoria archiwalna</w:t>
      </w:r>
      <w:r>
        <w:t xml:space="preserve"> bada historię dyscypliny, jej podział i wciąż zmieniający się zakres; definiuje podstawowe pojęcia archiwalne, zajmuje się ich aktualizacją i określeniem wzajemnych relacji, formułowaniem i definiowaniem zasad rządzących różnymi dziedzinami funkcjonowania archiwów, formułowaniem praw i zasad archiwalnych.</w:t>
      </w:r>
    </w:p>
    <w:p w:rsidR="00711CF8" w:rsidRDefault="00711CF8" w:rsidP="00711CF8">
      <w:pPr>
        <w:numPr>
          <w:ilvl w:val="0"/>
          <w:numId w:val="19"/>
        </w:numPr>
        <w:spacing w:before="100" w:beforeAutospacing="1" w:after="100" w:afterAutospacing="1" w:line="240" w:lineRule="auto"/>
      </w:pPr>
      <w:r>
        <w:rPr>
          <w:b/>
          <w:bCs/>
        </w:rPr>
        <w:lastRenderedPageBreak/>
        <w:t>metodyka archiwalna</w:t>
      </w:r>
      <w:r>
        <w:t xml:space="preserve"> zajmuje się wskazywaniem optymalnych metod działania archiwów w czterech zakresach: gromadzenia, przechowywania, opracowywania i udostępniania.</w:t>
      </w:r>
    </w:p>
    <w:p w:rsidR="00711CF8" w:rsidRDefault="00711CF8" w:rsidP="00711CF8">
      <w:pPr>
        <w:numPr>
          <w:ilvl w:val="0"/>
          <w:numId w:val="19"/>
        </w:numPr>
        <w:spacing w:before="100" w:beforeAutospacing="1" w:after="100" w:afterAutospacing="1" w:line="240" w:lineRule="auto"/>
      </w:pPr>
      <w:r>
        <w:rPr>
          <w:b/>
          <w:bCs/>
        </w:rPr>
        <w:t>archiwoznawstwo</w:t>
      </w:r>
      <w:r>
        <w:t xml:space="preserve"> to dyscyplina archiwistyki zajmująca się dziejami archiwów (w rozumieniu instytucji gromadzącej archiwalia) </w:t>
      </w:r>
      <w:r w:rsidRPr="00711CF8">
        <w:t xml:space="preserve">jak i poszczególnych </w:t>
      </w:r>
      <w:hyperlink r:id="rId57" w:tooltip="Zespół archiwalny" w:history="1">
        <w:r w:rsidRPr="00711CF8">
          <w:rPr>
            <w:rStyle w:val="Hipercze"/>
            <w:color w:val="auto"/>
            <w:u w:val="none"/>
          </w:rPr>
          <w:t>zespołów</w:t>
        </w:r>
      </w:hyperlink>
      <w:r w:rsidRPr="00711CF8">
        <w:t xml:space="preserve"> lub </w:t>
      </w:r>
      <w:hyperlink r:id="rId58" w:tooltip="Zbiór archiwalny" w:history="1">
        <w:r w:rsidRPr="00711CF8">
          <w:rPr>
            <w:rStyle w:val="Hipercze"/>
            <w:color w:val="auto"/>
            <w:u w:val="none"/>
          </w:rPr>
          <w:t>zbiorów archiwalnych</w:t>
        </w:r>
      </w:hyperlink>
      <w:r w:rsidRPr="00711CF8">
        <w:t xml:space="preserve">. Archiwoznawstwo powiązane jest metodami badawczymi z historią administracji. Poprzez badanie i opisywanie procesów kształtowania się </w:t>
      </w:r>
      <w:hyperlink r:id="rId59" w:tooltip="Zasób archiwalny" w:history="1">
        <w:r w:rsidRPr="00711CF8">
          <w:rPr>
            <w:rStyle w:val="Hipercze"/>
            <w:color w:val="auto"/>
            <w:u w:val="none"/>
          </w:rPr>
          <w:t>zasobu archiwalnego</w:t>
        </w:r>
      </w:hyperlink>
      <w:r w:rsidRPr="00711CF8">
        <w:t xml:space="preserve"> i organizacji archiwów służy doskonaleniu opisu przechowywanego zasobu.</w:t>
      </w:r>
    </w:p>
    <w:p w:rsidR="009B3DBE" w:rsidRDefault="009B3DBE" w:rsidP="009B3DBE">
      <w:pPr>
        <w:spacing w:before="100" w:beforeAutospacing="1" w:after="100" w:afterAutospacing="1" w:line="240" w:lineRule="auto"/>
      </w:pPr>
    </w:p>
    <w:p w:rsidR="009B3DBE" w:rsidRDefault="009B3DBE" w:rsidP="009B3DBE">
      <w:pPr>
        <w:spacing w:before="100" w:beforeAutospacing="1" w:after="100" w:afterAutospacing="1" w:line="240" w:lineRule="auto"/>
      </w:pPr>
    </w:p>
    <w:p w:rsidR="009B3DBE" w:rsidRDefault="009B3DBE" w:rsidP="009B3DBE">
      <w:pPr>
        <w:pStyle w:val="Nagwek1"/>
        <w:rPr>
          <w:rStyle w:val="postbody"/>
          <w:rFonts w:ascii="Cambria" w:eastAsia="Times New Roman" w:hAnsi="Cambria" w:cs="Times New Roman"/>
          <w:color w:val="365F91"/>
        </w:rPr>
      </w:pPr>
      <w:r>
        <w:rPr>
          <w:rStyle w:val="postbody"/>
        </w:rPr>
        <w:t xml:space="preserve">16.  </w:t>
      </w:r>
      <w:r w:rsidRPr="009B3DBE">
        <w:rPr>
          <w:rStyle w:val="postbody"/>
          <w:rFonts w:ascii="Cambria" w:eastAsia="Times New Roman" w:hAnsi="Cambria" w:cs="Times New Roman"/>
          <w:color w:val="365F91"/>
        </w:rPr>
        <w:t>Typy zespołów archiwalnych</w:t>
      </w:r>
      <w:r>
        <w:rPr>
          <w:rStyle w:val="postbody"/>
          <w:rFonts w:ascii="Cambria" w:eastAsia="Times New Roman" w:hAnsi="Cambria" w:cs="Times New Roman"/>
          <w:color w:val="365F91"/>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03"/>
        <w:gridCol w:w="4709"/>
      </w:tblGrid>
      <w:tr w:rsidR="009B3DBE" w:rsidRPr="009B3DBE" w:rsidTr="007C0679">
        <w:tc>
          <w:tcPr>
            <w:tcW w:w="4503" w:type="dxa"/>
          </w:tcPr>
          <w:p w:rsidR="009B3DBE" w:rsidRPr="009B3DBE" w:rsidRDefault="009B3DBE" w:rsidP="007C0679">
            <w:pPr>
              <w:rPr>
                <w:rStyle w:val="postbody"/>
                <w:rFonts w:ascii="Calibri" w:eastAsia="Calibri" w:hAnsi="Calibri" w:cs="Times New Roman"/>
                <w:b/>
              </w:rPr>
            </w:pPr>
            <w:r w:rsidRPr="009B3DBE">
              <w:rPr>
                <w:rStyle w:val="postbody"/>
                <w:rFonts w:ascii="Calibri" w:eastAsia="Calibri" w:hAnsi="Calibri" w:cs="Times New Roman"/>
                <w:b/>
              </w:rPr>
              <w:t>- rodowy</w:t>
            </w:r>
          </w:p>
          <w:p w:rsidR="009B3DBE" w:rsidRPr="009B3DBE" w:rsidRDefault="009B3DBE" w:rsidP="007C0679">
            <w:pPr>
              <w:rPr>
                <w:rStyle w:val="postbody"/>
                <w:rFonts w:ascii="Calibri" w:eastAsia="Calibri" w:hAnsi="Calibri" w:cs="Times New Roman"/>
                <w:b/>
              </w:rPr>
            </w:pPr>
            <w:r w:rsidRPr="009B3DBE">
              <w:rPr>
                <w:rStyle w:val="postbody"/>
                <w:rFonts w:ascii="Calibri" w:eastAsia="Calibri" w:hAnsi="Calibri" w:cs="Times New Roman"/>
                <w:b/>
              </w:rPr>
              <w:t>- rodzinno-majątkowy</w:t>
            </w:r>
          </w:p>
          <w:p w:rsidR="009B3DBE" w:rsidRPr="009B3DBE" w:rsidRDefault="009B3DBE" w:rsidP="007C0679">
            <w:pPr>
              <w:rPr>
                <w:rStyle w:val="postbody"/>
                <w:rFonts w:ascii="Calibri" w:eastAsia="Calibri" w:hAnsi="Calibri" w:cs="Times New Roman"/>
              </w:rPr>
            </w:pPr>
            <w:r w:rsidRPr="009B3DBE">
              <w:rPr>
                <w:rStyle w:val="postbody"/>
                <w:rFonts w:ascii="Calibri" w:eastAsia="Calibri" w:hAnsi="Calibri" w:cs="Times New Roman"/>
                <w:b/>
              </w:rPr>
              <w:t>- prywatny</w:t>
            </w:r>
          </w:p>
        </w:tc>
        <w:tc>
          <w:tcPr>
            <w:tcW w:w="4709" w:type="dxa"/>
          </w:tcPr>
          <w:p w:rsidR="009B3DBE" w:rsidRPr="009B3DBE" w:rsidRDefault="009B3DBE" w:rsidP="007C0679">
            <w:pPr>
              <w:pStyle w:val="tekst"/>
              <w:spacing w:before="0" w:beforeAutospacing="0" w:after="0" w:afterAutospacing="0"/>
              <w:rPr>
                <w:rStyle w:val="postbody"/>
                <w:rFonts w:ascii="Calibri" w:hAnsi="Calibri"/>
                <w:color w:val="000000"/>
                <w:sz w:val="22"/>
                <w:szCs w:val="22"/>
              </w:rPr>
            </w:pPr>
            <w:r w:rsidRPr="009B3DBE">
              <w:rPr>
                <w:rStyle w:val="postbody"/>
                <w:rFonts w:ascii="Calibri" w:hAnsi="Calibri"/>
                <w:sz w:val="22"/>
                <w:szCs w:val="22"/>
              </w:rPr>
              <w:t xml:space="preserve">- </w:t>
            </w:r>
            <w:r w:rsidRPr="009B3DBE">
              <w:rPr>
                <w:rStyle w:val="postbody"/>
                <w:rFonts w:ascii="Calibri" w:hAnsi="Calibri"/>
                <w:b/>
                <w:color w:val="000000"/>
                <w:sz w:val="22"/>
                <w:szCs w:val="22"/>
              </w:rPr>
              <w:t>ot</w:t>
            </w:r>
            <w:r w:rsidRPr="009B3DBE">
              <w:rPr>
                <w:rFonts w:ascii="Calibri" w:hAnsi="Calibri"/>
                <w:b/>
                <w:bCs/>
                <w:color w:val="000000"/>
                <w:sz w:val="22"/>
                <w:szCs w:val="22"/>
              </w:rPr>
              <w:t>warty</w:t>
            </w:r>
            <w:r w:rsidRPr="009B3DBE">
              <w:rPr>
                <w:rFonts w:ascii="Calibri" w:hAnsi="Calibri"/>
                <w:color w:val="000000"/>
                <w:sz w:val="22"/>
                <w:szCs w:val="22"/>
              </w:rPr>
              <w:t xml:space="preserve"> – posiadające części zarchiwizowane i nadal narastającą dokumentację w registraturze twórcy </w:t>
            </w:r>
          </w:p>
          <w:p w:rsidR="009B3DBE" w:rsidRPr="009B3DBE" w:rsidRDefault="009B3DBE" w:rsidP="007C0679">
            <w:pPr>
              <w:rPr>
                <w:rStyle w:val="postbody"/>
                <w:rFonts w:ascii="Calibri" w:eastAsia="Calibri" w:hAnsi="Calibri" w:cs="Times New Roman"/>
                <w:color w:val="000000"/>
              </w:rPr>
            </w:pPr>
            <w:r w:rsidRPr="009B3DBE">
              <w:rPr>
                <w:rStyle w:val="postbody"/>
                <w:rFonts w:ascii="Calibri" w:eastAsia="Calibri" w:hAnsi="Calibri" w:cs="Times New Roman"/>
                <w:color w:val="000000"/>
              </w:rPr>
              <w:t xml:space="preserve">- </w:t>
            </w:r>
            <w:r w:rsidRPr="009B3DBE">
              <w:rPr>
                <w:rStyle w:val="postbody"/>
                <w:rFonts w:ascii="Calibri" w:eastAsia="Calibri" w:hAnsi="Calibri" w:cs="Times New Roman"/>
                <w:b/>
                <w:color w:val="000000"/>
              </w:rPr>
              <w:t>zamknięty</w:t>
            </w:r>
            <w:r w:rsidRPr="009B3DBE">
              <w:rPr>
                <w:rStyle w:val="postbody"/>
                <w:rFonts w:ascii="Calibri" w:eastAsia="Calibri" w:hAnsi="Calibri" w:cs="Times New Roman"/>
                <w:color w:val="000000"/>
              </w:rPr>
              <w:t xml:space="preserve"> – zarchiwizowane, zwykle po zakończeniu działalności przez twórcę zespołu</w:t>
            </w:r>
          </w:p>
          <w:p w:rsidR="009B3DBE" w:rsidRPr="009B3DBE" w:rsidRDefault="009B3DBE" w:rsidP="007C0679">
            <w:pPr>
              <w:rPr>
                <w:rStyle w:val="postbody"/>
                <w:rFonts w:ascii="Calibri" w:eastAsia="Calibri" w:hAnsi="Calibri" w:cs="Times New Roman"/>
                <w:color w:val="FF0000"/>
              </w:rPr>
            </w:pPr>
            <w:r w:rsidRPr="009B3DBE">
              <w:rPr>
                <w:rStyle w:val="postbody"/>
                <w:rFonts w:ascii="Calibri" w:eastAsia="Calibri" w:hAnsi="Calibri" w:cs="Times New Roman"/>
                <w:color w:val="000000"/>
              </w:rPr>
              <w:t>(OBA przekazują swoje materiały do AP)</w:t>
            </w:r>
          </w:p>
        </w:tc>
      </w:tr>
      <w:tr w:rsidR="009B3DBE" w:rsidRPr="009B3DBE" w:rsidTr="007C0679">
        <w:tc>
          <w:tcPr>
            <w:tcW w:w="4503" w:type="dxa"/>
          </w:tcPr>
          <w:p w:rsidR="009B3DBE" w:rsidRPr="009B3DBE" w:rsidRDefault="009B3DBE" w:rsidP="007C0679">
            <w:pPr>
              <w:rPr>
                <w:rFonts w:ascii="Calibri" w:eastAsia="Calibri" w:hAnsi="Calibri" w:cs="Times New Roman"/>
              </w:rPr>
            </w:pPr>
            <w:r w:rsidRPr="009B3DBE">
              <w:rPr>
                <w:rStyle w:val="postbody"/>
                <w:rFonts w:ascii="Calibri" w:eastAsia="Calibri" w:hAnsi="Calibri" w:cs="Times New Roman"/>
              </w:rPr>
              <w:t xml:space="preserve">- </w:t>
            </w:r>
            <w:r w:rsidRPr="009B3DBE">
              <w:rPr>
                <w:rStyle w:val="postbody"/>
                <w:rFonts w:ascii="Calibri" w:eastAsia="Calibri" w:hAnsi="Calibri" w:cs="Times New Roman"/>
                <w:b/>
              </w:rPr>
              <w:t xml:space="preserve">prosty </w:t>
            </w:r>
            <w:r w:rsidRPr="009B3DBE">
              <w:rPr>
                <w:rFonts w:ascii="Calibri" w:eastAsia="Calibri" w:hAnsi="Calibri" w:cs="Times New Roman"/>
              </w:rPr>
              <w:t xml:space="preserve">– dokumenty wytworzone przez jednego twórcę </w:t>
            </w:r>
          </w:p>
          <w:p w:rsidR="009B3DBE" w:rsidRPr="009B3DBE" w:rsidRDefault="009B3DBE" w:rsidP="007C0679">
            <w:pPr>
              <w:rPr>
                <w:rStyle w:val="postbody"/>
                <w:rFonts w:ascii="Calibri" w:eastAsia="Calibri" w:hAnsi="Calibri" w:cs="Times New Roman"/>
              </w:rPr>
            </w:pPr>
            <w:r w:rsidRPr="009B3DBE">
              <w:rPr>
                <w:rFonts w:ascii="Calibri" w:eastAsia="Calibri" w:hAnsi="Calibri" w:cs="Times New Roman"/>
              </w:rPr>
              <w:t>-</w:t>
            </w:r>
            <w:r w:rsidRPr="009B3DBE">
              <w:rPr>
                <w:rStyle w:val="postbody"/>
                <w:rFonts w:ascii="Calibri" w:eastAsia="Calibri" w:hAnsi="Calibri" w:cs="Times New Roman"/>
              </w:rPr>
              <w:t xml:space="preserve"> </w:t>
            </w:r>
            <w:r w:rsidRPr="009B3DBE">
              <w:rPr>
                <w:rStyle w:val="postbody"/>
                <w:rFonts w:ascii="Calibri" w:eastAsia="Calibri" w:hAnsi="Calibri" w:cs="Times New Roman"/>
                <w:b/>
              </w:rPr>
              <w:t>złożony</w:t>
            </w:r>
            <w:r w:rsidRPr="009B3DBE">
              <w:rPr>
                <w:rStyle w:val="postbody"/>
                <w:rFonts w:ascii="Calibri" w:eastAsia="Calibri" w:hAnsi="Calibri" w:cs="Times New Roman"/>
              </w:rPr>
              <w:t xml:space="preserve"> </w:t>
            </w:r>
            <w:r w:rsidRPr="009B3DBE">
              <w:rPr>
                <w:rFonts w:ascii="Calibri" w:eastAsia="Calibri" w:hAnsi="Calibri" w:cs="Times New Roman"/>
                <w:b/>
              </w:rPr>
              <w:t>–</w:t>
            </w:r>
            <w:r w:rsidRPr="009B3DBE">
              <w:rPr>
                <w:rStyle w:val="postbody"/>
                <w:rFonts w:ascii="Calibri" w:eastAsia="Calibri" w:hAnsi="Calibri" w:cs="Times New Roman"/>
              </w:rPr>
              <w:t xml:space="preserve"> </w:t>
            </w:r>
            <w:r w:rsidRPr="009B3DBE">
              <w:rPr>
                <w:rFonts w:ascii="Calibri" w:eastAsia="Calibri" w:hAnsi="Calibri" w:cs="Times New Roman"/>
                <w:bCs/>
              </w:rPr>
              <w:t>dokumenty</w:t>
            </w:r>
            <w:r w:rsidRPr="009B3DBE">
              <w:rPr>
                <w:rFonts w:ascii="Calibri" w:eastAsia="Calibri" w:hAnsi="Calibri" w:cs="Times New Roman"/>
              </w:rPr>
              <w:t xml:space="preserve"> wytworzone przez dwóch lub większą ilość twórców</w:t>
            </w:r>
          </w:p>
        </w:tc>
        <w:tc>
          <w:tcPr>
            <w:tcW w:w="4709" w:type="dxa"/>
          </w:tcPr>
          <w:p w:rsidR="009B3DBE" w:rsidRPr="009B3DBE" w:rsidRDefault="009B3DBE" w:rsidP="007C0679">
            <w:pPr>
              <w:pStyle w:val="tekst"/>
              <w:spacing w:before="0" w:beforeAutospacing="0" w:after="0" w:afterAutospacing="0"/>
              <w:rPr>
                <w:rFonts w:ascii="Calibri" w:hAnsi="Calibri"/>
                <w:sz w:val="22"/>
                <w:szCs w:val="22"/>
              </w:rPr>
            </w:pPr>
            <w:r w:rsidRPr="009B3DBE">
              <w:rPr>
                <w:rFonts w:ascii="Calibri" w:hAnsi="Calibri"/>
                <w:sz w:val="22"/>
                <w:szCs w:val="22"/>
              </w:rPr>
              <w:t>-</w:t>
            </w:r>
            <w:r w:rsidRPr="009B3DBE">
              <w:rPr>
                <w:rFonts w:ascii="Calibri" w:hAnsi="Calibri"/>
                <w:bCs/>
                <w:sz w:val="22"/>
                <w:szCs w:val="22"/>
              </w:rPr>
              <w:t xml:space="preserve"> </w:t>
            </w:r>
            <w:r w:rsidRPr="009B3DBE">
              <w:rPr>
                <w:rFonts w:ascii="Calibri" w:hAnsi="Calibri"/>
                <w:b/>
                <w:bCs/>
                <w:sz w:val="22"/>
                <w:szCs w:val="22"/>
              </w:rPr>
              <w:t>szczątkowy</w:t>
            </w:r>
            <w:r w:rsidRPr="009B3DBE">
              <w:rPr>
                <w:rFonts w:ascii="Calibri" w:hAnsi="Calibri"/>
                <w:sz w:val="22"/>
                <w:szCs w:val="22"/>
              </w:rPr>
              <w:t xml:space="preserve"> - zespół, którego znikomy stan zachowania pozwala tylko na zidentyfikowanie twórcy</w:t>
            </w:r>
          </w:p>
          <w:p w:rsidR="009B3DBE" w:rsidRPr="009B3DBE" w:rsidRDefault="009B3DBE" w:rsidP="007C0679">
            <w:pPr>
              <w:pStyle w:val="tekst"/>
              <w:spacing w:before="0" w:beforeAutospacing="0" w:after="0" w:afterAutospacing="0"/>
              <w:rPr>
                <w:rFonts w:ascii="Calibri" w:hAnsi="Calibri"/>
                <w:sz w:val="22"/>
                <w:szCs w:val="22"/>
              </w:rPr>
            </w:pPr>
            <w:r w:rsidRPr="009B3DBE">
              <w:rPr>
                <w:rFonts w:ascii="Calibri" w:hAnsi="Calibri"/>
                <w:b/>
                <w:sz w:val="22"/>
                <w:szCs w:val="22"/>
              </w:rPr>
              <w:t>-  fragmentaryczny</w:t>
            </w:r>
            <w:r w:rsidRPr="009B3DBE">
              <w:rPr>
                <w:rFonts w:ascii="Calibri" w:hAnsi="Calibri"/>
                <w:sz w:val="22"/>
                <w:szCs w:val="22"/>
              </w:rPr>
              <w:t xml:space="preserve"> -  zespół, którego stan zachowania pozwala na zidentyfikowanie twórcy i co najmniej jednej części jego działalności</w:t>
            </w:r>
          </w:p>
          <w:p w:rsidR="009B3DBE" w:rsidRPr="009B3DBE" w:rsidRDefault="009B3DBE" w:rsidP="007C0679">
            <w:pPr>
              <w:pStyle w:val="tekst"/>
              <w:spacing w:before="0" w:beforeAutospacing="0" w:after="0" w:afterAutospacing="0"/>
              <w:rPr>
                <w:rStyle w:val="postbody"/>
                <w:rFonts w:ascii="Calibri" w:hAnsi="Calibri"/>
                <w:sz w:val="22"/>
                <w:szCs w:val="22"/>
              </w:rPr>
            </w:pPr>
            <w:r w:rsidRPr="009B3DBE">
              <w:rPr>
                <w:rFonts w:ascii="Calibri" w:hAnsi="Calibri"/>
                <w:sz w:val="22"/>
                <w:szCs w:val="22"/>
              </w:rPr>
              <w:t xml:space="preserve">- </w:t>
            </w:r>
            <w:r w:rsidRPr="009B3DBE">
              <w:rPr>
                <w:rFonts w:ascii="Calibri" w:hAnsi="Calibri"/>
                <w:b/>
                <w:sz w:val="22"/>
                <w:szCs w:val="22"/>
              </w:rPr>
              <w:t>pełny/kompletny</w:t>
            </w:r>
            <w:r w:rsidRPr="009B3DBE">
              <w:rPr>
                <w:rFonts w:ascii="Calibri" w:hAnsi="Calibri"/>
                <w:sz w:val="22"/>
                <w:szCs w:val="22"/>
              </w:rPr>
              <w:t xml:space="preserve"> – zespół zachowany w całości lub prawie w całości, stan zachowania pozwala na zidentyfikowanie twórcy i wszystkich aspektów jego działalności</w:t>
            </w:r>
          </w:p>
        </w:tc>
      </w:tr>
      <w:tr w:rsidR="009B3DBE" w:rsidRPr="009B3DBE" w:rsidTr="007C0679">
        <w:trPr>
          <w:trHeight w:val="344"/>
        </w:trPr>
        <w:tc>
          <w:tcPr>
            <w:tcW w:w="9212" w:type="dxa"/>
            <w:gridSpan w:val="2"/>
          </w:tcPr>
          <w:p w:rsidR="009B3DBE" w:rsidRPr="009B3DBE" w:rsidRDefault="009B3DBE" w:rsidP="007C0679">
            <w:pPr>
              <w:rPr>
                <w:rStyle w:val="postbody"/>
                <w:rFonts w:ascii="Calibri" w:eastAsia="Calibri" w:hAnsi="Calibri" w:cs="Times New Roman"/>
              </w:rPr>
            </w:pPr>
            <w:r w:rsidRPr="009B3DBE">
              <w:rPr>
                <w:rStyle w:val="postbody"/>
                <w:rFonts w:ascii="Calibri" w:eastAsia="Calibri" w:hAnsi="Calibri" w:cs="Times New Roman"/>
              </w:rPr>
              <w:t xml:space="preserve">- </w:t>
            </w:r>
            <w:r w:rsidRPr="009B3DBE">
              <w:rPr>
                <w:rStyle w:val="postbody"/>
                <w:rFonts w:ascii="Calibri" w:eastAsia="Calibri" w:hAnsi="Calibri" w:cs="Times New Roman"/>
                <w:b/>
              </w:rPr>
              <w:t xml:space="preserve">typowy </w:t>
            </w:r>
            <w:r w:rsidRPr="009B3DBE">
              <w:rPr>
                <w:rFonts w:ascii="Calibri" w:eastAsia="Calibri" w:hAnsi="Calibri" w:cs="Times New Roman"/>
              </w:rPr>
              <w:t>– z grup zespołów zachowane te, które najpełniej przedstawiają działalność lub są najbardziej charakterystyczne np.: szkoły</w:t>
            </w:r>
          </w:p>
        </w:tc>
      </w:tr>
    </w:tbl>
    <w:p w:rsidR="00711CF8" w:rsidRDefault="00711CF8" w:rsidP="00711CF8">
      <w:pPr>
        <w:pStyle w:val="Akapitzlist"/>
      </w:pPr>
    </w:p>
    <w:p w:rsidR="009B3DBE" w:rsidRPr="00711CF8" w:rsidRDefault="009B3DBE" w:rsidP="00711CF8">
      <w:pPr>
        <w:pStyle w:val="Akapitzlist"/>
      </w:pPr>
    </w:p>
    <w:sectPr w:rsidR="009B3DBE" w:rsidRPr="00711CF8" w:rsidSect="00936B4B">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0215" w:rsidRDefault="00AD0215" w:rsidP="005A5C93">
      <w:pPr>
        <w:spacing w:after="0" w:line="240" w:lineRule="auto"/>
      </w:pPr>
      <w:r>
        <w:separator/>
      </w:r>
    </w:p>
  </w:endnote>
  <w:endnote w:type="continuationSeparator" w:id="0">
    <w:p w:rsidR="00AD0215" w:rsidRDefault="00AD0215" w:rsidP="005A5C9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A00002EF" w:usb1="4000004B" w:usb2="00000000" w:usb3="00000000" w:csb0="0000009F" w:csb1="00000000"/>
  </w:font>
  <w:font w:name="Tahoma">
    <w:panose1 w:val="020B0604030504040204"/>
    <w:charset w:val="EE"/>
    <w:family w:val="swiss"/>
    <w:pitch w:val="variable"/>
    <w:sig w:usb0="E1002A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0215" w:rsidRDefault="00AD0215" w:rsidP="005A5C93">
      <w:pPr>
        <w:spacing w:after="0" w:line="240" w:lineRule="auto"/>
      </w:pPr>
      <w:r>
        <w:separator/>
      </w:r>
    </w:p>
  </w:footnote>
  <w:footnote w:type="continuationSeparator" w:id="0">
    <w:p w:rsidR="00AD0215" w:rsidRDefault="00AD0215" w:rsidP="005A5C9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93453"/>
    <w:multiLevelType w:val="hybridMultilevel"/>
    <w:tmpl w:val="99F855D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nsid w:val="10874409"/>
    <w:multiLevelType w:val="hybridMultilevel"/>
    <w:tmpl w:val="A3D6CA9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
    <w:nsid w:val="1DF16BE9"/>
    <w:multiLevelType w:val="multilevel"/>
    <w:tmpl w:val="19FE7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A041C48"/>
    <w:multiLevelType w:val="hybridMultilevel"/>
    <w:tmpl w:val="33BE4918"/>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nsid w:val="421F6A0E"/>
    <w:multiLevelType w:val="hybridMultilevel"/>
    <w:tmpl w:val="55145330"/>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nsid w:val="45AE76F5"/>
    <w:multiLevelType w:val="multilevel"/>
    <w:tmpl w:val="E3109D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86635FE"/>
    <w:multiLevelType w:val="hybridMultilevel"/>
    <w:tmpl w:val="1E1EB16A"/>
    <w:lvl w:ilvl="0" w:tplc="3E246662">
      <w:start w:val="1"/>
      <w:numFmt w:val="decimal"/>
      <w:lvlText w:val="%1."/>
      <w:lvlJc w:val="left"/>
      <w:pPr>
        <w:ind w:left="720" w:hanging="360"/>
      </w:pPr>
      <w:rPr>
        <w:rFonts w:eastAsiaTheme="minorHAnsi" w:cstheme="minorBidi"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4A707F0F"/>
    <w:multiLevelType w:val="multilevel"/>
    <w:tmpl w:val="927E6124"/>
    <w:lvl w:ilvl="0">
      <w:start w:val="1"/>
      <w:numFmt w:val="decimal"/>
      <w:lvlText w:val="%1."/>
      <w:lvlJc w:val="left"/>
      <w:pPr>
        <w:tabs>
          <w:tab w:val="num" w:pos="786"/>
        </w:tabs>
        <w:ind w:left="786"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4D8B112B"/>
    <w:multiLevelType w:val="multilevel"/>
    <w:tmpl w:val="A066F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DC122E2"/>
    <w:multiLevelType w:val="hybridMultilevel"/>
    <w:tmpl w:val="C388B6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nsid w:val="5398250E"/>
    <w:multiLevelType w:val="hybridMultilevel"/>
    <w:tmpl w:val="A67678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nsid w:val="54A51577"/>
    <w:multiLevelType w:val="multilevel"/>
    <w:tmpl w:val="42D2E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5FB4CE8"/>
    <w:multiLevelType w:val="hybridMultilevel"/>
    <w:tmpl w:val="68DC225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nsid w:val="576D3CA0"/>
    <w:multiLevelType w:val="multilevel"/>
    <w:tmpl w:val="A41AFA1E"/>
    <w:lvl w:ilvl="0">
      <w:start w:val="1"/>
      <w:numFmt w:val="bullet"/>
      <w:lvlText w:val=""/>
      <w:lvlJc w:val="left"/>
      <w:pPr>
        <w:tabs>
          <w:tab w:val="num" w:pos="360"/>
        </w:tabs>
        <w:ind w:left="360" w:hanging="360"/>
      </w:pPr>
      <w:rPr>
        <w:rFonts w:ascii="Wingdings" w:hAnsi="Wingdings" w:hint="default"/>
        <w:color w:val="auto"/>
      </w:rPr>
    </w:lvl>
    <w:lvl w:ilvl="1">
      <w:start w:val="1"/>
      <w:numFmt w:val="bullet"/>
      <w:lvlText w:val="-"/>
      <w:lvlJc w:val="left"/>
      <w:pPr>
        <w:tabs>
          <w:tab w:val="num" w:pos="720"/>
        </w:tabs>
        <w:ind w:left="720" w:hanging="360"/>
      </w:pPr>
      <w:rPr>
        <w:rFonts w:ascii="Verdana" w:hAnsi="Verdana"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4">
    <w:nsid w:val="5CD810F2"/>
    <w:multiLevelType w:val="multilevel"/>
    <w:tmpl w:val="C1161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4845A6C"/>
    <w:multiLevelType w:val="hybridMultilevel"/>
    <w:tmpl w:val="76180778"/>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nsid w:val="669121BE"/>
    <w:multiLevelType w:val="multilevel"/>
    <w:tmpl w:val="54A84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ACE2015"/>
    <w:multiLevelType w:val="multilevel"/>
    <w:tmpl w:val="F732E8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54D4BCB"/>
    <w:multiLevelType w:val="hybridMultilevel"/>
    <w:tmpl w:val="91B2C85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abstractNumId w:val="14"/>
  </w:num>
  <w:num w:numId="2">
    <w:abstractNumId w:val="13"/>
  </w:num>
  <w:num w:numId="3">
    <w:abstractNumId w:val="6"/>
  </w:num>
  <w:num w:numId="4">
    <w:abstractNumId w:val="0"/>
  </w:num>
  <w:num w:numId="5">
    <w:abstractNumId w:val="4"/>
  </w:num>
  <w:num w:numId="6">
    <w:abstractNumId w:val="15"/>
  </w:num>
  <w:num w:numId="7">
    <w:abstractNumId w:val="18"/>
  </w:num>
  <w:num w:numId="8">
    <w:abstractNumId w:val="3"/>
  </w:num>
  <w:num w:numId="9">
    <w:abstractNumId w:val="16"/>
  </w:num>
  <w:num w:numId="10">
    <w:abstractNumId w:val="17"/>
  </w:num>
  <w:num w:numId="11">
    <w:abstractNumId w:val="7"/>
  </w:num>
  <w:num w:numId="12">
    <w:abstractNumId w:val="11"/>
  </w:num>
  <w:num w:numId="13">
    <w:abstractNumId w:val="1"/>
  </w:num>
  <w:num w:numId="14">
    <w:abstractNumId w:val="5"/>
  </w:num>
  <w:num w:numId="15">
    <w:abstractNumId w:val="8"/>
  </w:num>
  <w:num w:numId="16">
    <w:abstractNumId w:val="10"/>
  </w:num>
  <w:num w:numId="17">
    <w:abstractNumId w:val="12"/>
  </w:num>
  <w:num w:numId="18">
    <w:abstractNumId w:val="9"/>
  </w:num>
  <w:num w:numId="1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08"/>
  <w:hyphenationZone w:val="425"/>
  <w:characterSpacingControl w:val="doNotCompress"/>
  <w:footnotePr>
    <w:footnote w:id="-1"/>
    <w:footnote w:id="0"/>
  </w:footnotePr>
  <w:endnotePr>
    <w:endnote w:id="-1"/>
    <w:endnote w:id="0"/>
  </w:endnotePr>
  <w:compat/>
  <w:rsids>
    <w:rsidRoot w:val="00425094"/>
    <w:rsid w:val="0012657F"/>
    <w:rsid w:val="00173063"/>
    <w:rsid w:val="002626ED"/>
    <w:rsid w:val="003C2CC8"/>
    <w:rsid w:val="00425094"/>
    <w:rsid w:val="0045254D"/>
    <w:rsid w:val="005424A8"/>
    <w:rsid w:val="00581610"/>
    <w:rsid w:val="005A5C93"/>
    <w:rsid w:val="006768DE"/>
    <w:rsid w:val="007116BE"/>
    <w:rsid w:val="00711CF8"/>
    <w:rsid w:val="0074531D"/>
    <w:rsid w:val="00826ADD"/>
    <w:rsid w:val="008409D7"/>
    <w:rsid w:val="008B0AD9"/>
    <w:rsid w:val="00936B4B"/>
    <w:rsid w:val="009B3DBE"/>
    <w:rsid w:val="00AD0215"/>
    <w:rsid w:val="00DA66C8"/>
    <w:rsid w:val="00E3746F"/>
    <w:rsid w:val="00E43851"/>
    <w:rsid w:val="00F353FD"/>
    <w:rsid w:val="00F601DA"/>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36B4B"/>
  </w:style>
  <w:style w:type="paragraph" w:styleId="Nagwek1">
    <w:name w:val="heading 1"/>
    <w:basedOn w:val="Normalny"/>
    <w:next w:val="Normalny"/>
    <w:link w:val="Nagwek1Znak"/>
    <w:uiPriority w:val="9"/>
    <w:qFormat/>
    <w:rsid w:val="006768D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3">
    <w:name w:val="heading 3"/>
    <w:basedOn w:val="Normalny"/>
    <w:next w:val="Normalny"/>
    <w:link w:val="Nagwek3Znak"/>
    <w:uiPriority w:val="9"/>
    <w:semiHidden/>
    <w:unhideWhenUsed/>
    <w:qFormat/>
    <w:rsid w:val="003C2CC8"/>
    <w:pPr>
      <w:keepNext/>
      <w:keepLines/>
      <w:spacing w:before="200" w:after="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next w:val="Normalny"/>
    <w:link w:val="TytuZnak"/>
    <w:uiPriority w:val="10"/>
    <w:qFormat/>
    <w:rsid w:val="0042509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ytuZnak">
    <w:name w:val="Tytuł Znak"/>
    <w:basedOn w:val="Domylnaczcionkaakapitu"/>
    <w:link w:val="Tytu"/>
    <w:uiPriority w:val="10"/>
    <w:rsid w:val="00425094"/>
    <w:rPr>
      <w:rFonts w:asciiTheme="majorHAnsi" w:eastAsiaTheme="majorEastAsia" w:hAnsiTheme="majorHAnsi" w:cstheme="majorBidi"/>
      <w:color w:val="17365D" w:themeColor="text2" w:themeShade="BF"/>
      <w:spacing w:val="5"/>
      <w:kern w:val="28"/>
      <w:sz w:val="52"/>
      <w:szCs w:val="52"/>
    </w:rPr>
  </w:style>
  <w:style w:type="character" w:customStyle="1" w:styleId="postbody">
    <w:name w:val="postbody"/>
    <w:basedOn w:val="Domylnaczcionkaakapitu"/>
    <w:rsid w:val="00425094"/>
  </w:style>
  <w:style w:type="paragraph" w:styleId="Tekstprzypisukocowego">
    <w:name w:val="endnote text"/>
    <w:basedOn w:val="Normalny"/>
    <w:link w:val="TekstprzypisukocowegoZnak"/>
    <w:uiPriority w:val="99"/>
    <w:semiHidden/>
    <w:unhideWhenUsed/>
    <w:rsid w:val="005A5C93"/>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5A5C93"/>
    <w:rPr>
      <w:sz w:val="20"/>
      <w:szCs w:val="20"/>
    </w:rPr>
  </w:style>
  <w:style w:type="character" w:styleId="Odwoanieprzypisukocowego">
    <w:name w:val="endnote reference"/>
    <w:basedOn w:val="Domylnaczcionkaakapitu"/>
    <w:uiPriority w:val="99"/>
    <w:semiHidden/>
    <w:unhideWhenUsed/>
    <w:rsid w:val="005A5C93"/>
    <w:rPr>
      <w:vertAlign w:val="superscript"/>
    </w:rPr>
  </w:style>
  <w:style w:type="character" w:customStyle="1" w:styleId="Nagwek1Znak">
    <w:name w:val="Nagłówek 1 Znak"/>
    <w:basedOn w:val="Domylnaczcionkaakapitu"/>
    <w:link w:val="Nagwek1"/>
    <w:uiPriority w:val="9"/>
    <w:rsid w:val="006768DE"/>
    <w:rPr>
      <w:rFonts w:asciiTheme="majorHAnsi" w:eastAsiaTheme="majorEastAsia" w:hAnsiTheme="majorHAnsi" w:cstheme="majorBidi"/>
      <w:b/>
      <w:bCs/>
      <w:color w:val="365F91" w:themeColor="accent1" w:themeShade="BF"/>
      <w:sz w:val="28"/>
      <w:szCs w:val="28"/>
    </w:rPr>
  </w:style>
  <w:style w:type="character" w:styleId="Hipercze">
    <w:name w:val="Hyperlink"/>
    <w:basedOn w:val="Domylnaczcionkaakapitu"/>
    <w:uiPriority w:val="99"/>
    <w:unhideWhenUsed/>
    <w:rsid w:val="0045254D"/>
    <w:rPr>
      <w:color w:val="0000FF"/>
      <w:u w:val="single"/>
    </w:rPr>
  </w:style>
  <w:style w:type="paragraph" w:styleId="Akapitzlist">
    <w:name w:val="List Paragraph"/>
    <w:basedOn w:val="Normalny"/>
    <w:uiPriority w:val="34"/>
    <w:qFormat/>
    <w:rsid w:val="00F601DA"/>
    <w:pPr>
      <w:ind w:left="720"/>
      <w:contextualSpacing/>
    </w:pPr>
  </w:style>
  <w:style w:type="character" w:styleId="Pogrubienie">
    <w:name w:val="Strong"/>
    <w:basedOn w:val="Domylnaczcionkaakapitu"/>
    <w:qFormat/>
    <w:rsid w:val="00F601DA"/>
    <w:rPr>
      <w:b/>
      <w:bCs/>
    </w:rPr>
  </w:style>
  <w:style w:type="paragraph" w:styleId="NormalnyWeb">
    <w:name w:val="Normal (Web)"/>
    <w:basedOn w:val="Normalny"/>
    <w:uiPriority w:val="99"/>
    <w:semiHidden/>
    <w:unhideWhenUsed/>
    <w:rsid w:val="00F601DA"/>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HTML-staaszeroko">
    <w:name w:val="HTML Typewriter"/>
    <w:basedOn w:val="Domylnaczcionkaakapitu"/>
    <w:uiPriority w:val="99"/>
    <w:semiHidden/>
    <w:unhideWhenUsed/>
    <w:rsid w:val="00173063"/>
    <w:rPr>
      <w:rFonts w:ascii="Courier New" w:eastAsia="Times New Roman" w:hAnsi="Courier New" w:cs="Courier New"/>
      <w:sz w:val="20"/>
      <w:szCs w:val="20"/>
    </w:rPr>
  </w:style>
  <w:style w:type="paragraph" w:styleId="Tekstdymka">
    <w:name w:val="Balloon Text"/>
    <w:basedOn w:val="Normalny"/>
    <w:link w:val="TekstdymkaZnak"/>
    <w:uiPriority w:val="99"/>
    <w:semiHidden/>
    <w:unhideWhenUsed/>
    <w:rsid w:val="008B0AD9"/>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B0AD9"/>
    <w:rPr>
      <w:rFonts w:ascii="Tahoma" w:hAnsi="Tahoma" w:cs="Tahoma"/>
      <w:sz w:val="16"/>
      <w:szCs w:val="16"/>
    </w:rPr>
  </w:style>
  <w:style w:type="character" w:customStyle="1" w:styleId="Nagwek3Znak">
    <w:name w:val="Nagłówek 3 Znak"/>
    <w:basedOn w:val="Domylnaczcionkaakapitu"/>
    <w:link w:val="Nagwek3"/>
    <w:uiPriority w:val="9"/>
    <w:semiHidden/>
    <w:rsid w:val="003C2CC8"/>
    <w:rPr>
      <w:rFonts w:asciiTheme="majorHAnsi" w:eastAsiaTheme="majorEastAsia" w:hAnsiTheme="majorHAnsi" w:cstheme="majorBidi"/>
      <w:b/>
      <w:bCs/>
      <w:color w:val="4F81BD" w:themeColor="accent1"/>
    </w:rPr>
  </w:style>
  <w:style w:type="character" w:customStyle="1" w:styleId="mw-headline">
    <w:name w:val="mw-headline"/>
    <w:basedOn w:val="Domylnaczcionkaakapitu"/>
    <w:rsid w:val="003C2CC8"/>
  </w:style>
  <w:style w:type="character" w:customStyle="1" w:styleId="editsection">
    <w:name w:val="editsection"/>
    <w:basedOn w:val="Domylnaczcionkaakapitu"/>
    <w:rsid w:val="003C2CC8"/>
  </w:style>
  <w:style w:type="paragraph" w:customStyle="1" w:styleId="tekst">
    <w:name w:val="tekst"/>
    <w:basedOn w:val="Normalny"/>
    <w:rsid w:val="009B3DBE"/>
    <w:pPr>
      <w:spacing w:before="100" w:beforeAutospacing="1" w:after="100" w:afterAutospacing="1" w:line="240" w:lineRule="auto"/>
    </w:pPr>
    <w:rPr>
      <w:rFonts w:ascii="Times New Roman" w:eastAsia="Times New Roman" w:hAnsi="Times New Roman" w:cs="Times New Roman"/>
      <w:sz w:val="24"/>
      <w:szCs w:val="24"/>
      <w:lang w:eastAsia="pl-PL"/>
    </w:rPr>
  </w:style>
</w:styles>
</file>

<file path=word/webSettings.xml><?xml version="1.0" encoding="utf-8"?>
<w:webSettings xmlns:r="http://schemas.openxmlformats.org/officeDocument/2006/relationships" xmlns:w="http://schemas.openxmlformats.org/wordprocessingml/2006/main">
  <w:divs>
    <w:div w:id="243272039">
      <w:bodyDiv w:val="1"/>
      <w:marLeft w:val="0"/>
      <w:marRight w:val="0"/>
      <w:marTop w:val="0"/>
      <w:marBottom w:val="0"/>
      <w:divBdr>
        <w:top w:val="none" w:sz="0" w:space="0" w:color="auto"/>
        <w:left w:val="none" w:sz="0" w:space="0" w:color="auto"/>
        <w:bottom w:val="none" w:sz="0" w:space="0" w:color="auto"/>
        <w:right w:val="none" w:sz="0" w:space="0" w:color="auto"/>
      </w:divBdr>
    </w:div>
    <w:div w:id="467212957">
      <w:bodyDiv w:val="1"/>
      <w:marLeft w:val="0"/>
      <w:marRight w:val="0"/>
      <w:marTop w:val="0"/>
      <w:marBottom w:val="0"/>
      <w:divBdr>
        <w:top w:val="none" w:sz="0" w:space="0" w:color="auto"/>
        <w:left w:val="none" w:sz="0" w:space="0" w:color="auto"/>
        <w:bottom w:val="none" w:sz="0" w:space="0" w:color="auto"/>
        <w:right w:val="none" w:sz="0" w:space="0" w:color="auto"/>
      </w:divBdr>
    </w:div>
    <w:div w:id="699404492">
      <w:bodyDiv w:val="1"/>
      <w:marLeft w:val="0"/>
      <w:marRight w:val="0"/>
      <w:marTop w:val="0"/>
      <w:marBottom w:val="0"/>
      <w:divBdr>
        <w:top w:val="none" w:sz="0" w:space="0" w:color="auto"/>
        <w:left w:val="none" w:sz="0" w:space="0" w:color="auto"/>
        <w:bottom w:val="none" w:sz="0" w:space="0" w:color="auto"/>
        <w:right w:val="none" w:sz="0" w:space="0" w:color="auto"/>
      </w:divBdr>
    </w:div>
    <w:div w:id="1064716715">
      <w:bodyDiv w:val="1"/>
      <w:marLeft w:val="0"/>
      <w:marRight w:val="0"/>
      <w:marTop w:val="0"/>
      <w:marBottom w:val="0"/>
      <w:divBdr>
        <w:top w:val="none" w:sz="0" w:space="0" w:color="auto"/>
        <w:left w:val="none" w:sz="0" w:space="0" w:color="auto"/>
        <w:bottom w:val="none" w:sz="0" w:space="0" w:color="auto"/>
        <w:right w:val="none" w:sz="0" w:space="0" w:color="auto"/>
      </w:divBdr>
    </w:div>
    <w:div w:id="1109742030">
      <w:bodyDiv w:val="1"/>
      <w:marLeft w:val="0"/>
      <w:marRight w:val="0"/>
      <w:marTop w:val="0"/>
      <w:marBottom w:val="0"/>
      <w:divBdr>
        <w:top w:val="none" w:sz="0" w:space="0" w:color="auto"/>
        <w:left w:val="none" w:sz="0" w:space="0" w:color="auto"/>
        <w:bottom w:val="none" w:sz="0" w:space="0" w:color="auto"/>
        <w:right w:val="none" w:sz="0" w:space="0" w:color="auto"/>
      </w:divBdr>
    </w:div>
    <w:div w:id="1281572818">
      <w:bodyDiv w:val="1"/>
      <w:marLeft w:val="0"/>
      <w:marRight w:val="0"/>
      <w:marTop w:val="0"/>
      <w:marBottom w:val="0"/>
      <w:divBdr>
        <w:top w:val="none" w:sz="0" w:space="0" w:color="auto"/>
        <w:left w:val="none" w:sz="0" w:space="0" w:color="auto"/>
        <w:bottom w:val="none" w:sz="0" w:space="0" w:color="auto"/>
        <w:right w:val="none" w:sz="0" w:space="0" w:color="auto"/>
      </w:divBdr>
    </w:div>
    <w:div w:id="2080322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pl.wikipedia.org/wiki/Archiwum_pa%C5%84stwowe" TargetMode="External"/><Relationship Id="rId18" Type="http://schemas.openxmlformats.org/officeDocument/2006/relationships/hyperlink" Target="http://pl.wikipedia.org/wiki/Dokument" TargetMode="External"/><Relationship Id="rId26" Type="http://schemas.openxmlformats.org/officeDocument/2006/relationships/hyperlink" Target="http://pl.wikipedia.org/wiki/Akt_prawny" TargetMode="External"/><Relationship Id="rId39" Type="http://schemas.openxmlformats.org/officeDocument/2006/relationships/hyperlink" Target="http://pl.wikipedia.org/wiki/Rejestr" TargetMode="External"/><Relationship Id="rId21" Type="http://schemas.openxmlformats.org/officeDocument/2006/relationships/hyperlink" Target="http://pl.wikipedia.org/wiki/Ekspertyza" TargetMode="External"/><Relationship Id="rId34" Type="http://schemas.openxmlformats.org/officeDocument/2006/relationships/hyperlink" Target="http://pl.wikipedia.org/wiki/Sprawa" TargetMode="External"/><Relationship Id="rId42" Type="http://schemas.openxmlformats.org/officeDocument/2006/relationships/image" Target="media/image1.jpeg"/><Relationship Id="rId47" Type="http://schemas.openxmlformats.org/officeDocument/2006/relationships/hyperlink" Target="http://pl.wikipedia.org/w/index.php?title=Spis_spraw&amp;action=edit&amp;redlink=1" TargetMode="External"/><Relationship Id="rId50" Type="http://schemas.openxmlformats.org/officeDocument/2006/relationships/hyperlink" Target="http://pl.wikipedia.org/wiki/Zesp%C3%B3%C5%82_archiwalny" TargetMode="External"/><Relationship Id="rId55" Type="http://schemas.openxmlformats.org/officeDocument/2006/relationships/hyperlink" Target="http://pl.wikipedia.org/wiki/Tytu%C5%82" TargetMode="External"/><Relationship Id="rId7" Type="http://schemas.openxmlformats.org/officeDocument/2006/relationships/hyperlink" Target="http://pl.wikipedia.org/wiki/%C5%9Awiadectwo" TargetMode="External"/><Relationship Id="rId2" Type="http://schemas.openxmlformats.org/officeDocument/2006/relationships/styles" Target="styles.xml"/><Relationship Id="rId16" Type="http://schemas.openxmlformats.org/officeDocument/2006/relationships/hyperlink" Target="http://pl.wikipedia.org/wiki/Ewidencja_archiwum_zak%C5%82adowego" TargetMode="External"/><Relationship Id="rId20" Type="http://schemas.openxmlformats.org/officeDocument/2006/relationships/hyperlink" Target="http://pl.wikipedia.org/wiki/Aktotw%C3%B3rca" TargetMode="External"/><Relationship Id="rId29" Type="http://schemas.openxmlformats.org/officeDocument/2006/relationships/hyperlink" Target="http://pl.wikipedia.org/wiki/Sankcja" TargetMode="External"/><Relationship Id="rId41" Type="http://schemas.openxmlformats.org/officeDocument/2006/relationships/hyperlink" Target="http://pl.wikipedia.org/w/index.php?title=Znak_pisma&amp;action=edit&amp;redlink=1" TargetMode="External"/><Relationship Id="rId54" Type="http://schemas.openxmlformats.org/officeDocument/2006/relationships/hyperlink" Target="http://pl.wikipedia.org/wiki/Sygnatura"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l.wikipedia.org/wiki/Kopia" TargetMode="External"/><Relationship Id="rId24" Type="http://schemas.openxmlformats.org/officeDocument/2006/relationships/hyperlink" Target="http://pl.wikipedia.org/wiki/Narodowy_zas%C3%B3b_archiwalny" TargetMode="External"/><Relationship Id="rId32" Type="http://schemas.openxmlformats.org/officeDocument/2006/relationships/hyperlink" Target="http://pl.wikipedia.org/wiki/Przedsi%C4%99biorstwo" TargetMode="External"/><Relationship Id="rId37" Type="http://schemas.openxmlformats.org/officeDocument/2006/relationships/hyperlink" Target="http://pl.wikipedia.org/wiki/Sk%C5%82adnica" TargetMode="External"/><Relationship Id="rId40" Type="http://schemas.openxmlformats.org/officeDocument/2006/relationships/hyperlink" Target="http://pl.wikipedia.org/wiki/Pismo" TargetMode="External"/><Relationship Id="rId45" Type="http://schemas.openxmlformats.org/officeDocument/2006/relationships/hyperlink" Target="http://pl.wikipedia.org/wiki/Wykaz_akt" TargetMode="External"/><Relationship Id="rId53" Type="http://schemas.openxmlformats.org/officeDocument/2006/relationships/hyperlink" Target="http://pl.wikipedia.org/wiki/Jednostka_archiwalna" TargetMode="External"/><Relationship Id="rId58" Type="http://schemas.openxmlformats.org/officeDocument/2006/relationships/hyperlink" Target="http://pl.wikipedia.org/wiki/Zbi%C3%B3r_archiwalny" TargetMode="External"/><Relationship Id="rId5" Type="http://schemas.openxmlformats.org/officeDocument/2006/relationships/footnotes" Target="footnotes.xml"/><Relationship Id="rId15" Type="http://schemas.openxmlformats.org/officeDocument/2006/relationships/hyperlink" Target="http://pl.wikipedia.org/wiki/Instrukcja_archiwalna" TargetMode="External"/><Relationship Id="rId23" Type="http://schemas.openxmlformats.org/officeDocument/2006/relationships/hyperlink" Target="http://pl.wikipedia.org/wiki/Materia%C5%82y_archiwalne" TargetMode="External"/><Relationship Id="rId28" Type="http://schemas.openxmlformats.org/officeDocument/2006/relationships/hyperlink" Target="http://pl.wikipedia.org/wiki/Materia%C5%82y_archiwalne" TargetMode="External"/><Relationship Id="rId36" Type="http://schemas.openxmlformats.org/officeDocument/2006/relationships/hyperlink" Target="http://pl.wikipedia.org/wiki/Archiwum_zak%C5%82adowe" TargetMode="External"/><Relationship Id="rId49" Type="http://schemas.openxmlformats.org/officeDocument/2006/relationships/image" Target="media/image3.jpeg"/><Relationship Id="rId57" Type="http://schemas.openxmlformats.org/officeDocument/2006/relationships/hyperlink" Target="http://pl.wikipedia.org/wiki/Zesp%C3%B3%C5%82_archiwalny" TargetMode="External"/><Relationship Id="rId61" Type="http://schemas.openxmlformats.org/officeDocument/2006/relationships/theme" Target="theme/theme1.xml"/><Relationship Id="rId10" Type="http://schemas.openxmlformats.org/officeDocument/2006/relationships/hyperlink" Target="http://pl.wikipedia.org/wiki/Odpis_dokumentu" TargetMode="External"/><Relationship Id="rId19" Type="http://schemas.openxmlformats.org/officeDocument/2006/relationships/hyperlink" Target="http://pl.wikipedia.org/wiki/Ewidencja_archiwum_zak%C5%82adowego" TargetMode="External"/><Relationship Id="rId31" Type="http://schemas.openxmlformats.org/officeDocument/2006/relationships/hyperlink" Target="http://pl.wikipedia.org/wiki/Urz%C4%85d" TargetMode="External"/><Relationship Id="rId44" Type="http://schemas.openxmlformats.org/officeDocument/2006/relationships/hyperlink" Target="http://pl.wikipedia.org/w/index.php?title=Znak_pisma&amp;action=edit&amp;redlink=1" TargetMode="External"/><Relationship Id="rId52" Type="http://schemas.openxmlformats.org/officeDocument/2006/relationships/hyperlink" Target="http://pl.wikipedia.org/wiki/Jednostka_inwentarzowa_%28archiwistyka%29" TargetMode="External"/><Relationship Id="rId6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pl.wikipedia.org/wiki/Duplikat" TargetMode="External"/><Relationship Id="rId14" Type="http://schemas.openxmlformats.org/officeDocument/2006/relationships/hyperlink" Target="http://pl.wikipedia.org/wiki/Instrukcja_kancelaryjna" TargetMode="External"/><Relationship Id="rId22" Type="http://schemas.openxmlformats.org/officeDocument/2006/relationships/hyperlink" Target="http://pl.wikipedia.org/wiki/Materia%C5%82y_archiwalne" TargetMode="External"/><Relationship Id="rId27" Type="http://schemas.openxmlformats.org/officeDocument/2006/relationships/hyperlink" Target="http://pl.wikipedia.org/wiki/Definicja" TargetMode="External"/><Relationship Id="rId30" Type="http://schemas.openxmlformats.org/officeDocument/2006/relationships/hyperlink" Target="http://pl.wikipedia.org/wiki/Dokument" TargetMode="External"/><Relationship Id="rId35" Type="http://schemas.openxmlformats.org/officeDocument/2006/relationships/hyperlink" Target="http://pl.wikipedia.org/wiki/Dokumentacja" TargetMode="External"/><Relationship Id="rId43" Type="http://schemas.openxmlformats.org/officeDocument/2006/relationships/hyperlink" Target="http://pl.wikipedia.org/w/index.php?title=Spis_spraw&amp;action=edit&amp;redlink=1" TargetMode="External"/><Relationship Id="rId48" Type="http://schemas.openxmlformats.org/officeDocument/2006/relationships/hyperlink" Target="http://pl.wikipedia.org/wiki/Wykaz_akt" TargetMode="External"/><Relationship Id="rId56" Type="http://schemas.openxmlformats.org/officeDocument/2006/relationships/hyperlink" Target="http://pl.wikipedia.org/wiki/Registratura" TargetMode="External"/><Relationship Id="rId8" Type="http://schemas.openxmlformats.org/officeDocument/2006/relationships/hyperlink" Target="http://pl.wikipedia.org/wiki/Czas" TargetMode="External"/><Relationship Id="rId51" Type="http://schemas.openxmlformats.org/officeDocument/2006/relationships/hyperlink" Target="http://pl.wikipedia.org/wiki/Zbi%C3%B3r_archiwalny" TargetMode="External"/><Relationship Id="rId3" Type="http://schemas.openxmlformats.org/officeDocument/2006/relationships/settings" Target="settings.xml"/><Relationship Id="rId12" Type="http://schemas.openxmlformats.org/officeDocument/2006/relationships/hyperlink" Target="http://www.biblioteka.info/mabpz/" TargetMode="External"/><Relationship Id="rId17" Type="http://schemas.openxmlformats.org/officeDocument/2006/relationships/hyperlink" Target="http://pl.wikipedia.org/wiki/Materia%C5%82y_archiwalne" TargetMode="External"/><Relationship Id="rId25" Type="http://schemas.openxmlformats.org/officeDocument/2006/relationships/hyperlink" Target="http://pl.wikipedia.org/wiki/Narodowy_zas%C3%B3b_archiwalny" TargetMode="External"/><Relationship Id="rId33" Type="http://schemas.openxmlformats.org/officeDocument/2006/relationships/hyperlink" Target="http://pl.wikipedia.org/wiki/Urz%C4%85d" TargetMode="External"/><Relationship Id="rId38" Type="http://schemas.openxmlformats.org/officeDocument/2006/relationships/hyperlink" Target="http://pl.wikipedia.org/w/index.php?title=Dziennik_podawczy&amp;action=edit&amp;redlink=1" TargetMode="External"/><Relationship Id="rId46" Type="http://schemas.openxmlformats.org/officeDocument/2006/relationships/image" Target="media/image2.jpeg"/><Relationship Id="rId59" Type="http://schemas.openxmlformats.org/officeDocument/2006/relationships/hyperlink" Target="http://pl.wikipedia.org/wiki/Zas%C3%B3b_archiwalny"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182</TotalTime>
  <Pages>1</Pages>
  <Words>3332</Words>
  <Characters>19992</Characters>
  <Application>Microsoft Office Word</Application>
  <DocSecurity>0</DocSecurity>
  <Lines>166</Lines>
  <Paragraphs>46</Paragraphs>
  <ScaleCrop>false</ScaleCrop>
  <HeadingPairs>
    <vt:vector size="2" baseType="variant">
      <vt:variant>
        <vt:lpstr>Tytuł</vt:lpstr>
      </vt:variant>
      <vt:variant>
        <vt:i4>1</vt:i4>
      </vt:variant>
    </vt:vector>
  </HeadingPairs>
  <TitlesOfParts>
    <vt:vector size="1" baseType="lpstr">
      <vt:lpstr/>
    </vt:vector>
  </TitlesOfParts>
  <Company>TOSHIBA</Company>
  <LinksUpToDate>false</LinksUpToDate>
  <CharactersWithSpaces>23278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Toshiba</cp:lastModifiedBy>
  <cp:revision>5</cp:revision>
  <dcterms:created xsi:type="dcterms:W3CDTF">2011-01-07T15:47:00Z</dcterms:created>
  <dcterms:modified xsi:type="dcterms:W3CDTF">2011-01-08T17:26:00Z</dcterms:modified>
</cp:coreProperties>
</file>